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ED404" w14:textId="77777777" w:rsidR="00A85F50" w:rsidRPr="00A85F50" w:rsidRDefault="00A85F50">
      <w:pPr>
        <w:rPr>
          <w:sz w:val="18"/>
          <w:szCs w:val="18"/>
        </w:rPr>
      </w:pPr>
      <w:r w:rsidRPr="00A85F50">
        <w:rPr>
          <w:sz w:val="18"/>
          <w:szCs w:val="18"/>
        </w:rPr>
        <w:t>Published in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The </w:t>
      </w:r>
      <w:r w:rsidRPr="00A85F50">
        <w:rPr>
          <w:i/>
          <w:sz w:val="18"/>
          <w:szCs w:val="18"/>
        </w:rPr>
        <w:t>Swag</w:t>
      </w:r>
      <w:r w:rsidRPr="00A85F50">
        <w:rPr>
          <w:sz w:val="18"/>
          <w:szCs w:val="18"/>
        </w:rPr>
        <w:t>, Vol. 28, No. 2, Winter 2020</w:t>
      </w:r>
      <w:r w:rsidR="00215A19">
        <w:rPr>
          <w:sz w:val="18"/>
          <w:szCs w:val="18"/>
        </w:rPr>
        <w:t>, pp. 15-16</w:t>
      </w:r>
      <w:r w:rsidRPr="00A85F50">
        <w:rPr>
          <w:sz w:val="18"/>
          <w:szCs w:val="18"/>
        </w:rPr>
        <w:t xml:space="preserve"> </w:t>
      </w:r>
    </w:p>
    <w:p w14:paraId="41B8580C" w14:textId="77777777" w:rsidR="00722CD1" w:rsidRPr="00A85F50" w:rsidRDefault="008F15E0">
      <w:pPr>
        <w:rPr>
          <w:b/>
          <w:sz w:val="36"/>
          <w:szCs w:val="36"/>
        </w:rPr>
      </w:pPr>
      <w:r w:rsidRPr="00A85F50">
        <w:rPr>
          <w:b/>
          <w:sz w:val="36"/>
          <w:szCs w:val="36"/>
        </w:rPr>
        <w:t xml:space="preserve">Most prominent </w:t>
      </w:r>
      <w:r w:rsidR="009F76B3" w:rsidRPr="00A85F50">
        <w:rPr>
          <w:b/>
          <w:sz w:val="36"/>
          <w:szCs w:val="36"/>
        </w:rPr>
        <w:t xml:space="preserve">issues </w:t>
      </w:r>
      <w:r w:rsidR="00BE7F5A" w:rsidRPr="00A85F50">
        <w:rPr>
          <w:b/>
          <w:sz w:val="36"/>
          <w:szCs w:val="36"/>
        </w:rPr>
        <w:t xml:space="preserve">for </w:t>
      </w:r>
      <w:r w:rsidR="00F73481" w:rsidRPr="00A85F50">
        <w:rPr>
          <w:b/>
          <w:sz w:val="36"/>
          <w:szCs w:val="36"/>
        </w:rPr>
        <w:t xml:space="preserve">the </w:t>
      </w:r>
      <w:r w:rsidR="00FA76F8" w:rsidRPr="00A85F50">
        <w:rPr>
          <w:b/>
          <w:sz w:val="36"/>
          <w:szCs w:val="36"/>
        </w:rPr>
        <w:t xml:space="preserve">Plenary Council </w:t>
      </w:r>
      <w:r w:rsidR="00BE7F5A" w:rsidRPr="00A85F50">
        <w:rPr>
          <w:b/>
          <w:sz w:val="36"/>
          <w:szCs w:val="36"/>
        </w:rPr>
        <w:t>agenda</w:t>
      </w:r>
    </w:p>
    <w:p w14:paraId="58169FD8" w14:textId="77777777" w:rsidR="00AE18FC" w:rsidRPr="008F15E0" w:rsidRDefault="00AE18FC">
      <w:pPr>
        <w:rPr>
          <w:b/>
          <w:sz w:val="24"/>
          <w:szCs w:val="24"/>
        </w:rPr>
      </w:pPr>
      <w:r w:rsidRPr="008F15E0">
        <w:rPr>
          <w:b/>
          <w:sz w:val="24"/>
          <w:szCs w:val="24"/>
        </w:rPr>
        <w:t>Peter Wilkinson</w:t>
      </w:r>
    </w:p>
    <w:p w14:paraId="76FF195A" w14:textId="77777777" w:rsidR="006F151E" w:rsidRPr="006F151E" w:rsidRDefault="006F151E">
      <w:pPr>
        <w:rPr>
          <w:i/>
          <w:sz w:val="24"/>
          <w:szCs w:val="24"/>
        </w:rPr>
      </w:pPr>
      <w:r w:rsidRPr="006F151E">
        <w:rPr>
          <w:i/>
          <w:sz w:val="24"/>
          <w:szCs w:val="24"/>
        </w:rPr>
        <w:t>New</w:t>
      </w:r>
      <w:r>
        <w:rPr>
          <w:i/>
          <w:sz w:val="24"/>
          <w:szCs w:val="24"/>
        </w:rPr>
        <w:t xml:space="preserve"> research </w:t>
      </w:r>
      <w:r w:rsidR="003B2EE2">
        <w:rPr>
          <w:i/>
          <w:sz w:val="24"/>
          <w:szCs w:val="24"/>
        </w:rPr>
        <w:t>into</w:t>
      </w:r>
      <w:r>
        <w:rPr>
          <w:i/>
          <w:sz w:val="24"/>
          <w:szCs w:val="24"/>
        </w:rPr>
        <w:t xml:space="preserve"> the written submissions to the Plenary Council shows that among the issues raised</w:t>
      </w:r>
      <w:r w:rsidR="00BE7F5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8F15E0">
        <w:rPr>
          <w:i/>
          <w:sz w:val="24"/>
          <w:szCs w:val="24"/>
        </w:rPr>
        <w:t xml:space="preserve">some </w:t>
      </w:r>
      <w:r w:rsidR="003B2EE2">
        <w:rPr>
          <w:i/>
          <w:sz w:val="24"/>
          <w:szCs w:val="24"/>
        </w:rPr>
        <w:t xml:space="preserve">are more </w:t>
      </w:r>
      <w:r w:rsidR="008F15E0">
        <w:rPr>
          <w:i/>
          <w:sz w:val="24"/>
          <w:szCs w:val="24"/>
        </w:rPr>
        <w:t>prominent</w:t>
      </w:r>
      <w:r w:rsidR="003B2EE2">
        <w:rPr>
          <w:i/>
          <w:sz w:val="24"/>
          <w:szCs w:val="24"/>
        </w:rPr>
        <w:t xml:space="preserve"> than others</w:t>
      </w:r>
      <w:r w:rsidR="008F15E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337C8383" w14:textId="77777777" w:rsidR="00FA76F8" w:rsidRPr="009F76B3" w:rsidRDefault="001369F7" w:rsidP="009F76B3">
      <w:pPr>
        <w:rPr>
          <w:b/>
        </w:rPr>
      </w:pPr>
      <w:r>
        <w:rPr>
          <w:b/>
        </w:rPr>
        <w:t xml:space="preserve">Listening and Dialogue </w:t>
      </w:r>
    </w:p>
    <w:p w14:paraId="4ACE0F22" w14:textId="77777777" w:rsidR="00C6059C" w:rsidRDefault="006F151E" w:rsidP="00402F98">
      <w:r>
        <w:t>P</w:t>
      </w:r>
      <w:r w:rsidR="00C531B6">
        <w:t>reparat</w:t>
      </w:r>
      <w:r>
        <w:t xml:space="preserve">ions </w:t>
      </w:r>
      <w:r w:rsidR="00C531B6">
        <w:t>f</w:t>
      </w:r>
      <w:r w:rsidR="00402F98">
        <w:t>or</w:t>
      </w:r>
      <w:r w:rsidR="00C531B6">
        <w:t xml:space="preserve"> the</w:t>
      </w:r>
      <w:r>
        <w:t xml:space="preserve"> </w:t>
      </w:r>
      <w:r w:rsidR="00C531B6">
        <w:t>Plenary Council began i</w:t>
      </w:r>
      <w:r w:rsidR="00FA76F8" w:rsidRPr="006C7AAA">
        <w:t>n May 2018</w:t>
      </w:r>
      <w:r>
        <w:t xml:space="preserve"> with a </w:t>
      </w:r>
      <w:r w:rsidR="00C531B6">
        <w:t xml:space="preserve">‘Listening and Dialogue’ </w:t>
      </w:r>
      <w:r w:rsidR="005C0EB8">
        <w:t>phase</w:t>
      </w:r>
      <w:r w:rsidR="00C531B6">
        <w:t xml:space="preserve"> aimed at “listening to the voice of God speaking through the voices of the people” and “gain</w:t>
      </w:r>
      <w:r>
        <w:t>ing</w:t>
      </w:r>
      <w:r w:rsidR="00C531B6">
        <w:t xml:space="preserve"> a sense of their faith” (</w:t>
      </w:r>
      <w:proofErr w:type="spellStart"/>
      <w:r w:rsidR="00C531B6" w:rsidRPr="00C531B6">
        <w:rPr>
          <w:i/>
        </w:rPr>
        <w:t>sensus</w:t>
      </w:r>
      <w:proofErr w:type="spellEnd"/>
      <w:r w:rsidR="00C531B6" w:rsidRPr="00C531B6">
        <w:rPr>
          <w:i/>
        </w:rPr>
        <w:t xml:space="preserve"> fidei</w:t>
      </w:r>
      <w:r w:rsidR="00C531B6">
        <w:t xml:space="preserve">).  </w:t>
      </w:r>
      <w:r w:rsidR="005C0EB8">
        <w:t xml:space="preserve">Australian Catholics, and others, </w:t>
      </w:r>
      <w:r w:rsidR="00C531B6">
        <w:t>were invited to reflect on and respond to th</w:t>
      </w:r>
      <w:r>
        <w:t>e</w:t>
      </w:r>
      <w:r w:rsidR="00C531B6">
        <w:t xml:space="preserve"> question: </w:t>
      </w:r>
      <w:r w:rsidR="00FA76F8" w:rsidRPr="006C7AAA">
        <w:rPr>
          <w:i/>
        </w:rPr>
        <w:t xml:space="preserve">What do you think God is asking of us in Australia at this time? </w:t>
      </w:r>
      <w:r w:rsidR="005C0EB8">
        <w:t xml:space="preserve">By 13 </w:t>
      </w:r>
      <w:r w:rsidR="00CF6C16" w:rsidRPr="006C7AAA">
        <w:t xml:space="preserve">March 2019 </w:t>
      </w:r>
      <w:r w:rsidR="003B2EE2">
        <w:t>over</w:t>
      </w:r>
      <w:r w:rsidR="005C0EB8">
        <w:t xml:space="preserve"> 220,000 persons, mostly Catholic</w:t>
      </w:r>
      <w:r w:rsidR="00295F68">
        <w:t>s</w:t>
      </w:r>
      <w:r w:rsidR="005C0EB8">
        <w:t xml:space="preserve">, had responded </w:t>
      </w:r>
      <w:r w:rsidR="00DC180D">
        <w:t>in</w:t>
      </w:r>
      <w:r w:rsidR="008F15E0">
        <w:t xml:space="preserve"> </w:t>
      </w:r>
      <w:r w:rsidR="00CF6C16" w:rsidRPr="006C7AAA">
        <w:t>12,758</w:t>
      </w:r>
      <w:r w:rsidR="005C0EB8">
        <w:t xml:space="preserve"> </w:t>
      </w:r>
      <w:r w:rsidR="00CF6C16" w:rsidRPr="006C7AAA">
        <w:t>individual and 4,699</w:t>
      </w:r>
      <w:r w:rsidR="00A1075A">
        <w:t xml:space="preserve"> </w:t>
      </w:r>
      <w:r w:rsidR="005C0EB8">
        <w:t>group</w:t>
      </w:r>
      <w:r w:rsidR="008F15E0">
        <w:t xml:space="preserve"> </w:t>
      </w:r>
      <w:r w:rsidR="005C0EB8">
        <w:t>s</w:t>
      </w:r>
      <w:r w:rsidR="008F15E0">
        <w:t>ubmissions</w:t>
      </w:r>
      <w:r w:rsidR="00DC180D">
        <w:t xml:space="preserve">. </w:t>
      </w:r>
    </w:p>
    <w:p w14:paraId="5E275D52" w14:textId="77777777" w:rsidR="00534E73" w:rsidRPr="00963491" w:rsidRDefault="00DC180D" w:rsidP="00402F98">
      <w:pPr>
        <w:rPr>
          <w:lang w:val="en-US"/>
        </w:rPr>
      </w:pPr>
      <w:r>
        <w:t>T</w:t>
      </w:r>
      <w:r w:rsidR="00CF6C16" w:rsidRPr="006C7AAA">
        <w:t xml:space="preserve">he National Centre for Pastoral Research (NCPR) </w:t>
      </w:r>
      <w:r w:rsidR="006F151E">
        <w:t xml:space="preserve">subsequently published several reports on </w:t>
      </w:r>
      <w:r w:rsidR="005C0EB8">
        <w:t xml:space="preserve">both </w:t>
      </w:r>
      <w:r w:rsidR="00402F98">
        <w:t>the</w:t>
      </w:r>
      <w:r w:rsidR="008F15E0">
        <w:t xml:space="preserve">ir </w:t>
      </w:r>
      <w:r w:rsidR="006F151E">
        <w:t xml:space="preserve">content </w:t>
      </w:r>
      <w:r w:rsidR="008F15E0">
        <w:t xml:space="preserve">and authors. </w:t>
      </w:r>
      <w:r w:rsidR="005C0EB8">
        <w:t xml:space="preserve">It </w:t>
      </w:r>
      <w:r w:rsidR="00B70723">
        <w:rPr>
          <w:lang w:val="en-US"/>
        </w:rPr>
        <w:t xml:space="preserve">found </w:t>
      </w:r>
      <w:r w:rsidR="00191862">
        <w:rPr>
          <w:lang w:val="en-US"/>
        </w:rPr>
        <w:t>individual respondents were</w:t>
      </w:r>
      <w:r w:rsidR="00AC0021">
        <w:rPr>
          <w:lang w:val="en-US"/>
        </w:rPr>
        <w:t xml:space="preserve">: </w:t>
      </w:r>
      <w:r w:rsidR="00760FCB">
        <w:rPr>
          <w:lang w:val="en-US"/>
        </w:rPr>
        <w:t>more female (49%) than male (29%)</w:t>
      </w:r>
      <w:r w:rsidR="005C0EB8">
        <w:rPr>
          <w:lang w:val="en-US"/>
        </w:rPr>
        <w:t>;</w:t>
      </w:r>
      <w:r w:rsidR="00760FCB">
        <w:rPr>
          <w:lang w:val="en-US"/>
        </w:rPr>
        <w:t xml:space="preserve"> slightly more numerous in the older age groups (</w:t>
      </w:r>
      <w:r w:rsidR="00771569">
        <w:rPr>
          <w:lang w:val="en-US"/>
        </w:rPr>
        <w:t xml:space="preserve">23% </w:t>
      </w:r>
      <w:r w:rsidR="00AC0021">
        <w:rPr>
          <w:lang w:val="en-US"/>
        </w:rPr>
        <w:t xml:space="preserve">- </w:t>
      </w:r>
      <w:r w:rsidR="00760FCB">
        <w:rPr>
          <w:lang w:val="en-US"/>
        </w:rPr>
        <w:t>15-29 yrs</w:t>
      </w:r>
      <w:r w:rsidR="00771569">
        <w:rPr>
          <w:lang w:val="en-US"/>
        </w:rPr>
        <w:t xml:space="preserve">; 22% </w:t>
      </w:r>
      <w:r w:rsidR="00AC0021">
        <w:rPr>
          <w:lang w:val="en-US"/>
        </w:rPr>
        <w:t xml:space="preserve">- </w:t>
      </w:r>
      <w:r w:rsidR="00771569">
        <w:rPr>
          <w:lang w:val="en-US"/>
        </w:rPr>
        <w:t xml:space="preserve"> </w:t>
      </w:r>
      <w:r w:rsidR="00760FCB">
        <w:rPr>
          <w:lang w:val="en-US"/>
        </w:rPr>
        <w:t>30-59 yrs</w:t>
      </w:r>
      <w:r w:rsidR="00771569">
        <w:rPr>
          <w:lang w:val="en-US"/>
        </w:rPr>
        <w:t xml:space="preserve">; 32% </w:t>
      </w:r>
      <w:r w:rsidR="00AC0021">
        <w:rPr>
          <w:lang w:val="en-US"/>
        </w:rPr>
        <w:t>-</w:t>
      </w:r>
      <w:r w:rsidR="00771569">
        <w:rPr>
          <w:lang w:val="en-US"/>
        </w:rPr>
        <w:t xml:space="preserve"> </w:t>
      </w:r>
      <w:r w:rsidR="00760FCB">
        <w:rPr>
          <w:lang w:val="en-US"/>
        </w:rPr>
        <w:t>60-80+ yrs</w:t>
      </w:r>
      <w:r w:rsidR="00771569">
        <w:rPr>
          <w:lang w:val="en-US"/>
        </w:rPr>
        <w:t>)</w:t>
      </w:r>
      <w:r w:rsidR="00760FCB">
        <w:rPr>
          <w:lang w:val="en-US"/>
        </w:rPr>
        <w:t>; predominantly Australian-born (65%)</w:t>
      </w:r>
      <w:r w:rsidR="00AC0021">
        <w:rPr>
          <w:lang w:val="en-US"/>
        </w:rPr>
        <w:t xml:space="preserve"> </w:t>
      </w:r>
      <w:r>
        <w:rPr>
          <w:lang w:val="en-US"/>
        </w:rPr>
        <w:t xml:space="preserve">but </w:t>
      </w:r>
      <w:r w:rsidR="008F15E0">
        <w:rPr>
          <w:lang w:val="en-US"/>
        </w:rPr>
        <w:t xml:space="preserve">with </w:t>
      </w:r>
      <w:r w:rsidR="00AC0021">
        <w:rPr>
          <w:lang w:val="en-US"/>
        </w:rPr>
        <w:t>very few indigenous (143)</w:t>
      </w:r>
      <w:r w:rsidR="0040370D">
        <w:rPr>
          <w:lang w:val="en-US"/>
        </w:rPr>
        <w:t xml:space="preserve">; </w:t>
      </w:r>
      <w:r w:rsidR="003B2EE2">
        <w:rPr>
          <w:lang w:val="en-US"/>
        </w:rPr>
        <w:t xml:space="preserve">more from non-English-speaking countries (11%) than </w:t>
      </w:r>
      <w:r w:rsidR="0040370D">
        <w:rPr>
          <w:lang w:val="en-US"/>
        </w:rPr>
        <w:t>from other English-speaking countries (6%)</w:t>
      </w:r>
      <w:r w:rsidR="003B2EE2">
        <w:rPr>
          <w:lang w:val="en-US"/>
        </w:rPr>
        <w:t>;</w:t>
      </w:r>
      <w:r w:rsidR="0040370D">
        <w:rPr>
          <w:lang w:val="en-US"/>
        </w:rPr>
        <w:t xml:space="preserve"> predominantly Catholic (72%)</w:t>
      </w:r>
      <w:r w:rsidR="00AC0021">
        <w:rPr>
          <w:lang w:val="en-US"/>
        </w:rPr>
        <w:t xml:space="preserve">; </w:t>
      </w:r>
      <w:r w:rsidR="0040370D">
        <w:rPr>
          <w:lang w:val="en-US"/>
        </w:rPr>
        <w:t>other Christian</w:t>
      </w:r>
      <w:r w:rsidR="00B70723">
        <w:rPr>
          <w:lang w:val="en-US"/>
        </w:rPr>
        <w:t>s</w:t>
      </w:r>
      <w:r w:rsidR="0040370D">
        <w:rPr>
          <w:lang w:val="en-US"/>
        </w:rPr>
        <w:t xml:space="preserve"> (3%) and </w:t>
      </w:r>
      <w:r w:rsidR="00771569">
        <w:rPr>
          <w:lang w:val="en-US"/>
        </w:rPr>
        <w:t>non-Christian</w:t>
      </w:r>
      <w:r w:rsidR="00A1075A">
        <w:rPr>
          <w:lang w:val="en-US"/>
        </w:rPr>
        <w:t>s</w:t>
      </w:r>
      <w:r w:rsidR="00771569">
        <w:rPr>
          <w:lang w:val="en-US"/>
        </w:rPr>
        <w:t xml:space="preserve"> (1%); </w:t>
      </w:r>
      <w:r w:rsidR="00AC0021">
        <w:rPr>
          <w:lang w:val="en-US"/>
        </w:rPr>
        <w:t>significant</w:t>
      </w:r>
      <w:r w:rsidR="003B2EE2">
        <w:rPr>
          <w:lang w:val="en-US"/>
        </w:rPr>
        <w:t>ly</w:t>
      </w:r>
      <w:r w:rsidR="00AC0021">
        <w:rPr>
          <w:lang w:val="en-US"/>
        </w:rPr>
        <w:t xml:space="preserve"> </w:t>
      </w:r>
      <w:r w:rsidR="00771569">
        <w:rPr>
          <w:lang w:val="en-US"/>
        </w:rPr>
        <w:t>regular Mass</w:t>
      </w:r>
      <w:r w:rsidR="00AC0021">
        <w:rPr>
          <w:lang w:val="en-US"/>
        </w:rPr>
        <w:t xml:space="preserve"> </w:t>
      </w:r>
      <w:r w:rsidR="00771569">
        <w:rPr>
          <w:lang w:val="en-US"/>
        </w:rPr>
        <w:t>attenders</w:t>
      </w:r>
      <w:r w:rsidR="003B2EE2">
        <w:rPr>
          <w:lang w:val="en-US"/>
        </w:rPr>
        <w:t xml:space="preserve"> (76%)</w:t>
      </w:r>
      <w:r w:rsidR="00CA2788">
        <w:rPr>
          <w:lang w:val="en-US"/>
        </w:rPr>
        <w:t xml:space="preserve">; and </w:t>
      </w:r>
      <w:r w:rsidR="005C0EB8">
        <w:rPr>
          <w:lang w:val="en-US"/>
        </w:rPr>
        <w:t xml:space="preserve">most numerous </w:t>
      </w:r>
      <w:r w:rsidR="00A1075A">
        <w:rPr>
          <w:lang w:val="en-US"/>
        </w:rPr>
        <w:t>from</w:t>
      </w:r>
      <w:r w:rsidR="00534E73">
        <w:rPr>
          <w:lang w:val="en-US"/>
        </w:rPr>
        <w:t xml:space="preserve"> Brisbane (1890), Melbourne (1649), Wollongong (1244), Sydney (1103), and Perth (1082). </w:t>
      </w:r>
    </w:p>
    <w:p w14:paraId="2734080E" w14:textId="77777777" w:rsidR="00B71B91" w:rsidRPr="00B71B91" w:rsidRDefault="00393E9E" w:rsidP="00CF6C16">
      <w:r>
        <w:t>G</w:t>
      </w:r>
      <w:r w:rsidR="00402F98">
        <w:t>roup respondents</w:t>
      </w:r>
      <w:r>
        <w:t xml:space="preserve"> </w:t>
      </w:r>
      <w:r w:rsidR="00CA2788">
        <w:t xml:space="preserve">were: more female (50%) than male (41%); more </w:t>
      </w:r>
      <w:r w:rsidR="00C6059C">
        <w:t xml:space="preserve">numerous in the </w:t>
      </w:r>
      <w:r w:rsidR="00CA2788">
        <w:t xml:space="preserve">under 50 </w:t>
      </w:r>
      <w:r w:rsidR="00C6059C">
        <w:t>age group</w:t>
      </w:r>
      <w:r w:rsidR="00CA2788">
        <w:t xml:space="preserve"> (78,000) than </w:t>
      </w:r>
      <w:r w:rsidR="00C6059C">
        <w:t xml:space="preserve">in the </w:t>
      </w:r>
      <w:r w:rsidR="003B2EE2">
        <w:t xml:space="preserve">over </w:t>
      </w:r>
      <w:r w:rsidR="00CA2788">
        <w:t xml:space="preserve">50 </w:t>
      </w:r>
      <w:r w:rsidR="00C6059C">
        <w:t xml:space="preserve">age group </w:t>
      </w:r>
      <w:r w:rsidR="00CA2788">
        <w:t xml:space="preserve">(73,000); in groups </w:t>
      </w:r>
      <w:r w:rsidR="00213A6C">
        <w:t>var</w:t>
      </w:r>
      <w:r w:rsidR="00CA2788">
        <w:t>ying in size from 5</w:t>
      </w:r>
      <w:r>
        <w:t xml:space="preserve"> to </w:t>
      </w:r>
      <w:r w:rsidR="00213A6C">
        <w:t>17,000</w:t>
      </w:r>
      <w:r w:rsidR="003B2EE2">
        <w:t xml:space="preserve"> persons</w:t>
      </w:r>
      <w:r w:rsidR="00CA2788">
        <w:t>; and the</w:t>
      </w:r>
      <w:r w:rsidR="00C6059C">
        <w:t>ir submissions were</w:t>
      </w:r>
      <w:r w:rsidR="00CA2788">
        <w:t xml:space="preserve"> most numerous from Melbourne (791), Perth (519), Sydney (447), Brisbane (379) and Broken Bay (343).</w:t>
      </w:r>
    </w:p>
    <w:p w14:paraId="1225BED4" w14:textId="77777777" w:rsidR="00DD1AE8" w:rsidRPr="00DD1AE8" w:rsidRDefault="00B70723" w:rsidP="00C0427B">
      <w:pPr>
        <w:rPr>
          <w:b/>
        </w:rPr>
      </w:pPr>
      <w:r w:rsidRPr="00DD1AE8">
        <w:rPr>
          <w:b/>
        </w:rPr>
        <w:t>L</w:t>
      </w:r>
      <w:r w:rsidR="00C0427B" w:rsidRPr="00DD1AE8">
        <w:rPr>
          <w:b/>
        </w:rPr>
        <w:t>istening and Discernment</w:t>
      </w:r>
    </w:p>
    <w:p w14:paraId="4D169844" w14:textId="77777777" w:rsidR="00AB4E6E" w:rsidRDefault="00CA2788" w:rsidP="00940003">
      <w:r>
        <w:t xml:space="preserve">In its July 2019 </w:t>
      </w:r>
      <w:r w:rsidRPr="00C0427B">
        <w:rPr>
          <w:i/>
        </w:rPr>
        <w:t>Final Report</w:t>
      </w:r>
      <w:r>
        <w:t xml:space="preserve">, the NCPR identified </w:t>
      </w:r>
      <w:r w:rsidRPr="006C7AAA">
        <w:t>1</w:t>
      </w:r>
      <w:r>
        <w:t>19</w:t>
      </w:r>
      <w:r w:rsidRPr="006C7AAA">
        <w:t xml:space="preserve"> ‘themes’</w:t>
      </w:r>
      <w:r>
        <w:t xml:space="preserve"> or issues </w:t>
      </w:r>
      <w:r w:rsidR="00C6059C">
        <w:t xml:space="preserve">raised </w:t>
      </w:r>
      <w:r>
        <w:t xml:space="preserve">in the </w:t>
      </w:r>
      <w:r w:rsidR="00940003">
        <w:t>17,547 submissions</w:t>
      </w:r>
      <w:r w:rsidR="00C6059C">
        <w:t xml:space="preserve">. These </w:t>
      </w:r>
      <w:r>
        <w:t xml:space="preserve">became </w:t>
      </w:r>
      <w:r w:rsidR="004D0EB4">
        <w:t xml:space="preserve">the </w:t>
      </w:r>
      <w:r w:rsidR="00DD1AE8">
        <w:t>foundation</w:t>
      </w:r>
      <w:r w:rsidR="004D0EB4">
        <w:t xml:space="preserve"> for the </w:t>
      </w:r>
      <w:r w:rsidR="002F4391">
        <w:t xml:space="preserve">second </w:t>
      </w:r>
      <w:r w:rsidR="004D0EB4">
        <w:t>phase</w:t>
      </w:r>
      <w:r w:rsidR="00344816">
        <w:t xml:space="preserve"> </w:t>
      </w:r>
      <w:r>
        <w:t xml:space="preserve">- </w:t>
      </w:r>
      <w:r w:rsidR="004D0EB4" w:rsidRPr="004D0EB4">
        <w:rPr>
          <w:i/>
        </w:rPr>
        <w:t>Listening and Discernment</w:t>
      </w:r>
      <w:r>
        <w:rPr>
          <w:i/>
        </w:rPr>
        <w:t xml:space="preserve">- </w:t>
      </w:r>
      <w:r w:rsidR="00940003">
        <w:t>of the Council preparations</w:t>
      </w:r>
      <w:r w:rsidR="00C6059C">
        <w:t xml:space="preserve"> and f</w:t>
      </w:r>
      <w:r w:rsidR="00344816">
        <w:t xml:space="preserve">rom them </w:t>
      </w:r>
      <w:r w:rsidR="00DD1AE8">
        <w:t xml:space="preserve">Council organizers </w:t>
      </w:r>
      <w:r w:rsidR="00C0427B">
        <w:t>developed 6 National Themes for Discernment</w:t>
      </w:r>
      <w:r w:rsidR="00AB4E6E">
        <w:t xml:space="preserve"> (NTDs):</w:t>
      </w:r>
    </w:p>
    <w:p w14:paraId="76DC4CF4" w14:textId="77777777" w:rsidR="00CF6C16" w:rsidRPr="006C7AAA" w:rsidRDefault="00CF6C16" w:rsidP="00940003">
      <w:pPr>
        <w:pStyle w:val="ListParagraph"/>
        <w:numPr>
          <w:ilvl w:val="0"/>
          <w:numId w:val="1"/>
        </w:numPr>
      </w:pPr>
      <w:r w:rsidRPr="006C7AAA">
        <w:t>Open to Conversion, renewal and reform</w:t>
      </w:r>
    </w:p>
    <w:p w14:paraId="7C812E30" w14:textId="77777777" w:rsidR="00CF6C16" w:rsidRPr="006C7AAA" w:rsidRDefault="00CF6C16" w:rsidP="00CF6C16">
      <w:pPr>
        <w:pStyle w:val="ListParagraph"/>
        <w:numPr>
          <w:ilvl w:val="0"/>
          <w:numId w:val="1"/>
        </w:numPr>
      </w:pPr>
      <w:r w:rsidRPr="006C7AAA">
        <w:t>A joyful, hope-filled and servant community</w:t>
      </w:r>
    </w:p>
    <w:p w14:paraId="02D5E9E4" w14:textId="77777777" w:rsidR="00CF6C16" w:rsidRPr="006C7AAA" w:rsidRDefault="00CF6C16" w:rsidP="00CF6C16">
      <w:pPr>
        <w:pStyle w:val="ListParagraph"/>
        <w:numPr>
          <w:ilvl w:val="0"/>
          <w:numId w:val="1"/>
        </w:numPr>
      </w:pPr>
      <w:r w:rsidRPr="006C7AAA">
        <w:t>Humble, healing and merciful</w:t>
      </w:r>
    </w:p>
    <w:p w14:paraId="637A8C71" w14:textId="77777777" w:rsidR="00CF6C16" w:rsidRPr="006C7AAA" w:rsidRDefault="00CF6C16" w:rsidP="00CF6C16">
      <w:pPr>
        <w:pStyle w:val="ListParagraph"/>
        <w:numPr>
          <w:ilvl w:val="0"/>
          <w:numId w:val="1"/>
        </w:numPr>
      </w:pPr>
      <w:r w:rsidRPr="006C7AAA">
        <w:t>Prayerful and Eucharistic</w:t>
      </w:r>
    </w:p>
    <w:p w14:paraId="6F6AC93B" w14:textId="77777777" w:rsidR="00CF6C16" w:rsidRPr="006C7AAA" w:rsidRDefault="00CF6C16" w:rsidP="00CF6C16">
      <w:pPr>
        <w:pStyle w:val="ListParagraph"/>
        <w:numPr>
          <w:ilvl w:val="0"/>
          <w:numId w:val="1"/>
        </w:numPr>
      </w:pPr>
      <w:r w:rsidRPr="006C7AAA">
        <w:t>Inclusive, participatory and synodal</w:t>
      </w:r>
    </w:p>
    <w:p w14:paraId="6EB6C8C7" w14:textId="77777777" w:rsidR="00CF6C16" w:rsidRDefault="00CF6C16" w:rsidP="00CF6C16">
      <w:pPr>
        <w:pStyle w:val="ListParagraph"/>
        <w:numPr>
          <w:ilvl w:val="0"/>
          <w:numId w:val="1"/>
        </w:numPr>
      </w:pPr>
      <w:r w:rsidRPr="006C7AAA">
        <w:t>Missionary and evangelising</w:t>
      </w:r>
      <w:r w:rsidR="00AB4E6E">
        <w:t>.</w:t>
      </w:r>
    </w:p>
    <w:p w14:paraId="75416D4E" w14:textId="77777777" w:rsidR="00AB4E6E" w:rsidRDefault="00AB4E6E" w:rsidP="00AB4E6E">
      <w:r>
        <w:t xml:space="preserve">Six </w:t>
      </w:r>
      <w:r w:rsidRPr="006C7AAA">
        <w:t>Writing and Discernment Groups</w:t>
      </w:r>
      <w:r>
        <w:t xml:space="preserve"> are currently using the NTDs to prepare working documents to guide the formulation of the Council agenda:</w:t>
      </w:r>
    </w:p>
    <w:p w14:paraId="6A0B42A5" w14:textId="77777777" w:rsidR="00FB4C2D" w:rsidRPr="00FB4C2D" w:rsidRDefault="00295F68" w:rsidP="00CF6C16">
      <w:pPr>
        <w:rPr>
          <w:b/>
        </w:rPr>
      </w:pPr>
      <w:r>
        <w:rPr>
          <w:b/>
        </w:rPr>
        <w:lastRenderedPageBreak/>
        <w:t>D</w:t>
      </w:r>
      <w:r w:rsidR="00FB4C2D" w:rsidRPr="00FB4C2D">
        <w:rPr>
          <w:b/>
        </w:rPr>
        <w:t>iocesan Reports</w:t>
      </w:r>
    </w:p>
    <w:p w14:paraId="4D0890C7" w14:textId="77777777" w:rsidR="001D29E9" w:rsidRPr="006C7AAA" w:rsidRDefault="00AA7B2E" w:rsidP="00AF4B2D">
      <w:r>
        <w:t xml:space="preserve">In its </w:t>
      </w:r>
      <w:r w:rsidRPr="002F4391">
        <w:rPr>
          <w:i/>
        </w:rPr>
        <w:t>Final Report</w:t>
      </w:r>
      <w:r>
        <w:t xml:space="preserve"> t</w:t>
      </w:r>
      <w:r w:rsidR="004D0EB4">
        <w:t>he NCPR</w:t>
      </w:r>
      <w:r w:rsidR="002F4391">
        <w:t xml:space="preserve"> </w:t>
      </w:r>
      <w:r w:rsidR="004D0EB4">
        <w:t>provide</w:t>
      </w:r>
      <w:r>
        <w:t>d no</w:t>
      </w:r>
      <w:r w:rsidR="004D0EB4">
        <w:t xml:space="preserve"> weighting </w:t>
      </w:r>
      <w:r w:rsidR="00005AB3">
        <w:t>to</w:t>
      </w:r>
      <w:r w:rsidR="004D0EB4">
        <w:t xml:space="preserve"> the </w:t>
      </w:r>
      <w:r w:rsidR="00AB4E6E">
        <w:t xml:space="preserve">original </w:t>
      </w:r>
      <w:r w:rsidR="004D0EB4">
        <w:t xml:space="preserve">119 </w:t>
      </w:r>
      <w:r w:rsidR="00AB4E6E">
        <w:t xml:space="preserve">‘issues’ (I </w:t>
      </w:r>
      <w:r w:rsidR="003B2EE2">
        <w:t xml:space="preserve">will </w:t>
      </w:r>
      <w:r w:rsidR="00AB4E6E">
        <w:t xml:space="preserve">refer to them as ‘issues’ to distinguish them from the </w:t>
      </w:r>
      <w:r w:rsidR="002C7959">
        <w:t xml:space="preserve">6 </w:t>
      </w:r>
      <w:r w:rsidR="00AB4E6E">
        <w:t>NTDs)</w:t>
      </w:r>
      <w:r w:rsidR="00005AB3">
        <w:t xml:space="preserve">. Nor did it rank them in terms of which were the </w:t>
      </w:r>
      <w:r w:rsidR="00940003">
        <w:t xml:space="preserve">‘most prominent’ or </w:t>
      </w:r>
      <w:r w:rsidR="00005AB3">
        <w:t>‘most</w:t>
      </w:r>
      <w:r w:rsidR="004D0EB4">
        <w:t xml:space="preserve"> widely discussed</w:t>
      </w:r>
      <w:r w:rsidR="00005AB3">
        <w:t xml:space="preserve">’ by the respondents. </w:t>
      </w:r>
      <w:r w:rsidR="00AB4E6E">
        <w:t xml:space="preserve"> But t</w:t>
      </w:r>
      <w:r w:rsidR="00005AB3">
        <w:t xml:space="preserve">he </w:t>
      </w:r>
      <w:r w:rsidR="00940003">
        <w:t xml:space="preserve">NCPR’s </w:t>
      </w:r>
      <w:r w:rsidR="00005AB3">
        <w:t xml:space="preserve">March 2020 </w:t>
      </w:r>
      <w:r w:rsidR="008525DA">
        <w:rPr>
          <w:i/>
        </w:rPr>
        <w:t>Dioce</w:t>
      </w:r>
      <w:r>
        <w:rPr>
          <w:i/>
        </w:rPr>
        <w:t>san Reports</w:t>
      </w:r>
      <w:r w:rsidR="00005AB3">
        <w:t xml:space="preserve"> provid</w:t>
      </w:r>
      <w:r w:rsidR="00AB4E6E">
        <w:t>ing</w:t>
      </w:r>
      <w:r w:rsidR="00005AB3">
        <w:t xml:space="preserve"> new data</w:t>
      </w:r>
      <w:r w:rsidR="008525DA">
        <w:t xml:space="preserve"> </w:t>
      </w:r>
      <w:r w:rsidR="00940003">
        <w:t xml:space="preserve">on </w:t>
      </w:r>
      <w:r w:rsidR="00FB4C2D">
        <w:t xml:space="preserve">each </w:t>
      </w:r>
      <w:r w:rsidR="008525DA">
        <w:t>of</w:t>
      </w:r>
      <w:r w:rsidR="00FB4C2D">
        <w:t xml:space="preserve"> </w:t>
      </w:r>
      <w:r w:rsidR="008525DA">
        <w:t xml:space="preserve">Australia’s </w:t>
      </w:r>
      <w:r w:rsidR="00FB4C2D">
        <w:t>28 territorial dioceses</w:t>
      </w:r>
      <w:r w:rsidR="008525DA">
        <w:t>,</w:t>
      </w:r>
      <w:r w:rsidR="00FB4C2D">
        <w:t xml:space="preserve"> </w:t>
      </w:r>
      <w:r w:rsidR="00AB4E6E">
        <w:t>s</w:t>
      </w:r>
      <w:r w:rsidR="00005AB3">
        <w:t xml:space="preserve">how </w:t>
      </w:r>
      <w:r w:rsidR="00940003">
        <w:t xml:space="preserve">which </w:t>
      </w:r>
      <w:r w:rsidR="00005AB3">
        <w:t>issue</w:t>
      </w:r>
      <w:r w:rsidR="00940003">
        <w:t>s</w:t>
      </w:r>
      <w:r w:rsidR="00005AB3">
        <w:t xml:space="preserve"> were </w:t>
      </w:r>
      <w:r w:rsidR="002338B7">
        <w:t xml:space="preserve">the </w:t>
      </w:r>
      <w:r w:rsidR="005320A7">
        <w:t>‘mo</w:t>
      </w:r>
      <w:r w:rsidR="00657380">
        <w:t>st</w:t>
      </w:r>
      <w:r w:rsidR="005320A7">
        <w:t xml:space="preserve"> prominent’</w:t>
      </w:r>
      <w:r w:rsidR="00005AB3">
        <w:t xml:space="preserve"> and </w:t>
      </w:r>
      <w:r w:rsidR="00657380">
        <w:t>‘</w:t>
      </w:r>
      <w:r w:rsidR="00005AB3">
        <w:t>mo</w:t>
      </w:r>
      <w:r w:rsidR="00657380">
        <w:t>st</w:t>
      </w:r>
      <w:r w:rsidR="00005AB3">
        <w:t xml:space="preserve"> widely discussed</w:t>
      </w:r>
      <w:r w:rsidR="00657380">
        <w:t>’</w:t>
      </w:r>
      <w:r w:rsidR="00005AB3">
        <w:t xml:space="preserve"> </w:t>
      </w:r>
      <w:r w:rsidR="00AB4E6E">
        <w:t xml:space="preserve">by respondents both </w:t>
      </w:r>
      <w:r w:rsidR="00657380">
        <w:t xml:space="preserve">within </w:t>
      </w:r>
      <w:r w:rsidR="00AF4B2D">
        <w:t>and across dioceses.</w:t>
      </w:r>
      <w:r w:rsidR="002338B7">
        <w:t xml:space="preserve">  They also </w:t>
      </w:r>
      <w:r w:rsidR="00FB4C2D">
        <w:t>contain</w:t>
      </w:r>
      <w:r w:rsidR="008525DA">
        <w:t xml:space="preserve"> data on</w:t>
      </w:r>
      <w:r w:rsidR="00540B09">
        <w:t xml:space="preserve"> </w:t>
      </w:r>
      <w:r w:rsidR="00AF4B2D">
        <w:t xml:space="preserve">the </w:t>
      </w:r>
      <w:r w:rsidR="00FB4C2D">
        <w:t>respondents</w:t>
      </w:r>
      <w:r w:rsidR="00AF4B2D">
        <w:t xml:space="preserve"> from</w:t>
      </w:r>
      <w:r>
        <w:t xml:space="preserve"> each </w:t>
      </w:r>
      <w:r w:rsidR="008525DA">
        <w:t>diocese</w:t>
      </w:r>
      <w:r>
        <w:t xml:space="preserve">, </w:t>
      </w:r>
      <w:r w:rsidR="004666E1">
        <w:t xml:space="preserve">the texts </w:t>
      </w:r>
      <w:r w:rsidR="00FB4C2D">
        <w:t xml:space="preserve">(de-identified) </w:t>
      </w:r>
      <w:r w:rsidR="004666E1">
        <w:t xml:space="preserve">of </w:t>
      </w:r>
      <w:r w:rsidR="00F31817">
        <w:t>the</w:t>
      </w:r>
      <w:r w:rsidR="00540B09">
        <w:t>ir</w:t>
      </w:r>
      <w:r w:rsidR="00F31817">
        <w:t xml:space="preserve"> </w:t>
      </w:r>
      <w:r w:rsidR="004666E1">
        <w:t>responses</w:t>
      </w:r>
      <w:r w:rsidR="00FB4C2D">
        <w:t xml:space="preserve">, and </w:t>
      </w:r>
      <w:r w:rsidR="00A55D76">
        <w:t>the</w:t>
      </w:r>
      <w:r w:rsidR="00AF4B2D">
        <w:t xml:space="preserve"> </w:t>
      </w:r>
      <w:r w:rsidR="00AB4E6E">
        <w:t xml:space="preserve">issues </w:t>
      </w:r>
      <w:r w:rsidR="00AF4B2D">
        <w:t xml:space="preserve">‘most widely </w:t>
      </w:r>
      <w:r w:rsidR="00FB4C2D">
        <w:t>discussed</w:t>
      </w:r>
      <w:r w:rsidR="00AF4B2D">
        <w:t>’</w:t>
      </w:r>
      <w:r w:rsidR="00F31817">
        <w:t xml:space="preserve">. </w:t>
      </w:r>
      <w:r w:rsidR="00FB4C2D">
        <w:t xml:space="preserve"> </w:t>
      </w:r>
      <w:r w:rsidR="00AF4B2D">
        <w:t xml:space="preserve">They </w:t>
      </w:r>
      <w:r w:rsidR="00F31817">
        <w:t xml:space="preserve">cover </w:t>
      </w:r>
      <w:r w:rsidR="000F18C9">
        <w:t xml:space="preserve">77 </w:t>
      </w:r>
      <w:r w:rsidR="00EB2CAE">
        <w:t>of the ‘</w:t>
      </w:r>
      <w:r w:rsidR="00AB4E6E">
        <w:t>most prominent</w:t>
      </w:r>
      <w:r w:rsidR="00EB2CAE">
        <w:t>’</w:t>
      </w:r>
      <w:r w:rsidR="00AB4E6E">
        <w:t xml:space="preserve"> </w:t>
      </w:r>
      <w:r w:rsidR="00AF4B2D">
        <w:t>issues</w:t>
      </w:r>
      <w:r w:rsidR="002338B7">
        <w:t>,</w:t>
      </w:r>
      <w:r w:rsidR="00F31817">
        <w:t xml:space="preserve"> </w:t>
      </w:r>
      <w:r w:rsidR="00AB4E6E">
        <w:t xml:space="preserve">and </w:t>
      </w:r>
      <w:r w:rsidR="001D29E9" w:rsidRPr="006C7AAA">
        <w:t>group</w:t>
      </w:r>
      <w:r w:rsidR="00AB4E6E">
        <w:t xml:space="preserve"> them </w:t>
      </w:r>
      <w:r w:rsidR="00A55D76">
        <w:t xml:space="preserve">under </w:t>
      </w:r>
      <w:r>
        <w:t xml:space="preserve">6 </w:t>
      </w:r>
      <w:r w:rsidR="001D29E9" w:rsidRPr="006C7AAA">
        <w:t>‘topic</w:t>
      </w:r>
      <w:r w:rsidR="008525DA">
        <w:t xml:space="preserve"> areas</w:t>
      </w:r>
      <w:r w:rsidR="001D29E9" w:rsidRPr="006C7AAA">
        <w:t>’</w:t>
      </w:r>
      <w:r w:rsidR="00AF4B2D">
        <w:t xml:space="preserve"> (A-F below)</w:t>
      </w:r>
      <w:r w:rsidR="008525DA">
        <w:t>:</w:t>
      </w:r>
      <w:r w:rsidR="001D29E9" w:rsidRPr="006C7AAA">
        <w:t xml:space="preserve"> </w:t>
      </w:r>
    </w:p>
    <w:p w14:paraId="5CA6FE27" w14:textId="77777777" w:rsidR="001D29E9" w:rsidRPr="006C7AAA" w:rsidRDefault="006E2C59" w:rsidP="008525DA">
      <w:pPr>
        <w:pStyle w:val="ListParagraph"/>
      </w:pPr>
      <w:r w:rsidRPr="006C7AAA">
        <w:t xml:space="preserve">A: </w:t>
      </w:r>
      <w:r w:rsidR="001D29E9" w:rsidRPr="006C7AAA">
        <w:t>Love God, Love Neighbour</w:t>
      </w:r>
      <w:r w:rsidR="00173739" w:rsidRPr="006C7AAA">
        <w:t xml:space="preserve"> (11 </w:t>
      </w:r>
      <w:r w:rsidR="00AB4E6E">
        <w:t>issues</w:t>
      </w:r>
      <w:r w:rsidR="00173739" w:rsidRPr="006C7AAA">
        <w:t>)</w:t>
      </w:r>
    </w:p>
    <w:p w14:paraId="0D711289" w14:textId="77777777" w:rsidR="00B31CA0" w:rsidRPr="006C7AAA" w:rsidRDefault="006E2C59" w:rsidP="008525DA">
      <w:pPr>
        <w:pStyle w:val="ListParagraph"/>
      </w:pPr>
      <w:r w:rsidRPr="006C7AAA">
        <w:t xml:space="preserve">B: </w:t>
      </w:r>
      <w:r w:rsidR="001D29E9" w:rsidRPr="006C7AAA">
        <w:t>Leadership and Church Governance</w:t>
      </w:r>
      <w:r w:rsidR="00AB4E6E">
        <w:t xml:space="preserve"> (14 issues</w:t>
      </w:r>
      <w:r w:rsidR="00173739" w:rsidRPr="006C7AAA">
        <w:t>)</w:t>
      </w:r>
    </w:p>
    <w:p w14:paraId="45E0C89E" w14:textId="77777777" w:rsidR="001D29E9" w:rsidRPr="006C7AAA" w:rsidRDefault="006E2C59" w:rsidP="008525DA">
      <w:pPr>
        <w:pStyle w:val="ListParagraph"/>
      </w:pPr>
      <w:r w:rsidRPr="006C7AAA">
        <w:t xml:space="preserve">C: </w:t>
      </w:r>
      <w:r w:rsidR="001D29E9" w:rsidRPr="006C7AAA">
        <w:t>Sacraments</w:t>
      </w:r>
      <w:r w:rsidR="00AB4E6E">
        <w:t xml:space="preserve"> (8 issues</w:t>
      </w:r>
      <w:r w:rsidR="00173739" w:rsidRPr="006C7AAA">
        <w:t>)</w:t>
      </w:r>
    </w:p>
    <w:p w14:paraId="5B7D2DBD" w14:textId="77777777" w:rsidR="001D29E9" w:rsidRPr="006C7AAA" w:rsidRDefault="006E2C59" w:rsidP="008525DA">
      <w:pPr>
        <w:pStyle w:val="ListParagraph"/>
      </w:pPr>
      <w:r w:rsidRPr="006C7AAA">
        <w:t xml:space="preserve">D: </w:t>
      </w:r>
      <w:r w:rsidR="001D29E9" w:rsidRPr="006C7AAA">
        <w:t>Mass and Eucharist</w:t>
      </w:r>
      <w:r w:rsidR="00173739" w:rsidRPr="006C7AAA">
        <w:t xml:space="preserve"> (9 </w:t>
      </w:r>
      <w:r w:rsidR="00AB4E6E">
        <w:t>issues</w:t>
      </w:r>
      <w:r w:rsidR="00173739" w:rsidRPr="006C7AAA">
        <w:t>)</w:t>
      </w:r>
    </w:p>
    <w:p w14:paraId="6C508B6B" w14:textId="77777777" w:rsidR="001D29E9" w:rsidRDefault="006E2C59" w:rsidP="008525DA">
      <w:pPr>
        <w:pStyle w:val="ListParagraph"/>
      </w:pPr>
      <w:r w:rsidRPr="006C7AAA">
        <w:t xml:space="preserve">E: </w:t>
      </w:r>
      <w:r w:rsidR="00173739" w:rsidRPr="006C7AAA">
        <w:t xml:space="preserve">Social Justice and Environment (9 </w:t>
      </w:r>
      <w:r w:rsidR="00AB4E6E">
        <w:t>issues</w:t>
      </w:r>
      <w:r w:rsidR="00173739" w:rsidRPr="006C7AAA">
        <w:t>)</w:t>
      </w:r>
    </w:p>
    <w:p w14:paraId="690166F4" w14:textId="77777777" w:rsidR="00C642B2" w:rsidRPr="006C7AAA" w:rsidRDefault="00C642B2" w:rsidP="008525DA">
      <w:pPr>
        <w:pStyle w:val="ListParagraph"/>
      </w:pPr>
      <w:r>
        <w:t>F: O</w:t>
      </w:r>
      <w:r w:rsidR="006460CF">
        <w:t>utreach and O</w:t>
      </w:r>
      <w:r>
        <w:t xml:space="preserve">ther (26 </w:t>
      </w:r>
      <w:r w:rsidR="00AB4E6E">
        <w:t>issues</w:t>
      </w:r>
      <w:r>
        <w:t>)</w:t>
      </w:r>
    </w:p>
    <w:p w14:paraId="75D78BCF" w14:textId="77777777" w:rsidR="007F1D9F" w:rsidRDefault="001D29E9" w:rsidP="001D29E9">
      <w:r w:rsidRPr="006C7AAA">
        <w:t xml:space="preserve">Each report </w:t>
      </w:r>
      <w:r w:rsidR="00A55D76">
        <w:t xml:space="preserve">lists the </w:t>
      </w:r>
      <w:r w:rsidR="00F31817">
        <w:t>top</w:t>
      </w:r>
      <w:r w:rsidR="00A56819" w:rsidRPr="006C7AAA">
        <w:t>ic</w:t>
      </w:r>
      <w:r w:rsidR="00F31817">
        <w:t xml:space="preserve"> </w:t>
      </w:r>
      <w:r w:rsidR="00A56819" w:rsidRPr="006C7AAA">
        <w:t xml:space="preserve">areas </w:t>
      </w:r>
      <w:r w:rsidR="00230089" w:rsidRPr="006C7AAA">
        <w:t xml:space="preserve">discussed </w:t>
      </w:r>
      <w:r w:rsidR="00A55D76">
        <w:t xml:space="preserve">in </w:t>
      </w:r>
      <w:r w:rsidR="00AA7B2E">
        <w:t>each</w:t>
      </w:r>
      <w:r w:rsidR="00F31817">
        <w:t xml:space="preserve"> diocese</w:t>
      </w:r>
      <w:r w:rsidR="00540B09">
        <w:t>,</w:t>
      </w:r>
      <w:r w:rsidR="00F31817">
        <w:t xml:space="preserve"> and </w:t>
      </w:r>
      <w:r w:rsidR="002338B7">
        <w:t>the</w:t>
      </w:r>
      <w:r w:rsidR="00F31817">
        <w:t xml:space="preserve"> o</w:t>
      </w:r>
      <w:r w:rsidR="00230089" w:rsidRPr="006C7AAA">
        <w:t>rder</w:t>
      </w:r>
      <w:r w:rsidR="002338B7">
        <w:t xml:space="preserve"> discussed</w:t>
      </w:r>
      <w:r w:rsidR="00F31817">
        <w:t xml:space="preserve">.  </w:t>
      </w:r>
      <w:r w:rsidR="006460CF">
        <w:t>Table 1 shows</w:t>
      </w:r>
      <w:r w:rsidR="00EB2CAE">
        <w:t xml:space="preserve"> </w:t>
      </w:r>
      <w:r w:rsidR="006460CF">
        <w:t>t</w:t>
      </w:r>
      <w:r w:rsidR="00F31817">
        <w:t>opic</w:t>
      </w:r>
      <w:r w:rsidR="00691BF7">
        <w:t xml:space="preserve"> areas </w:t>
      </w:r>
      <w:r w:rsidR="00784DFB">
        <w:t>A, E and F were discussed in all 28 dioceses</w:t>
      </w:r>
      <w:r w:rsidR="006460CF">
        <w:t>,</w:t>
      </w:r>
      <w:r w:rsidR="00484465">
        <w:t xml:space="preserve"> </w:t>
      </w:r>
      <w:r w:rsidR="00784DFB">
        <w:t>B and C</w:t>
      </w:r>
      <w:r w:rsidR="00C642B2">
        <w:t xml:space="preserve"> discussed</w:t>
      </w:r>
      <w:r w:rsidR="00784DFB">
        <w:t xml:space="preserve"> in 27 </w:t>
      </w:r>
      <w:r w:rsidR="003F5446">
        <w:t>dio</w:t>
      </w:r>
      <w:r w:rsidR="00784DFB">
        <w:t xml:space="preserve">ceses </w:t>
      </w:r>
      <w:r w:rsidR="00C32E6E">
        <w:t>and</w:t>
      </w:r>
      <w:r w:rsidR="00A55D76">
        <w:t xml:space="preserve"> </w:t>
      </w:r>
      <w:r w:rsidR="00784DFB">
        <w:t xml:space="preserve">D in just 6 dioceses.  </w:t>
      </w:r>
      <w:r w:rsidR="0077095B">
        <w:t xml:space="preserve">The # 1 </w:t>
      </w:r>
      <w:r w:rsidR="00784DFB">
        <w:t xml:space="preserve">most discussed </w:t>
      </w:r>
      <w:r w:rsidR="0077095B">
        <w:t>topic</w:t>
      </w:r>
      <w:r w:rsidR="00691BF7">
        <w:t xml:space="preserve"> area </w:t>
      </w:r>
      <w:r w:rsidR="006460CF" w:rsidRPr="006460CF">
        <w:rPr>
          <w:u w:val="single"/>
        </w:rPr>
        <w:t>within</w:t>
      </w:r>
      <w:r w:rsidR="006460CF">
        <w:t xml:space="preserve"> dioceses </w:t>
      </w:r>
      <w:r w:rsidR="0077095B">
        <w:t>was A (</w:t>
      </w:r>
      <w:r w:rsidR="00EB2CAE">
        <w:t xml:space="preserve">in </w:t>
      </w:r>
      <w:r w:rsidR="00784DFB">
        <w:t>24 dioceses</w:t>
      </w:r>
      <w:r w:rsidR="0077095B">
        <w:t>) followed by E (3 dioceses) and B (2 dioceses)</w:t>
      </w:r>
      <w:r w:rsidR="006460CF">
        <w:t>.</w:t>
      </w:r>
      <w:r w:rsidR="00784DFB">
        <w:t xml:space="preserve"> </w:t>
      </w:r>
    </w:p>
    <w:p w14:paraId="691B76FD" w14:textId="77777777" w:rsidR="00967F29" w:rsidRDefault="00967F29" w:rsidP="00967F29">
      <w:pPr>
        <w:rPr>
          <w:b/>
        </w:rPr>
      </w:pPr>
      <w:r w:rsidRPr="0087665F">
        <w:rPr>
          <w:b/>
        </w:rPr>
        <w:t xml:space="preserve">Table </w:t>
      </w:r>
      <w:r w:rsidR="00484465">
        <w:rPr>
          <w:b/>
        </w:rPr>
        <w:t>1</w:t>
      </w:r>
      <w:r w:rsidRPr="0087665F">
        <w:rPr>
          <w:b/>
        </w:rPr>
        <w:t xml:space="preserve">: </w:t>
      </w:r>
      <w:r>
        <w:rPr>
          <w:b/>
        </w:rPr>
        <w:t>T</w:t>
      </w:r>
      <w:r w:rsidRPr="0087665F">
        <w:rPr>
          <w:b/>
        </w:rPr>
        <w:t>opic</w:t>
      </w:r>
      <w:r w:rsidR="00691BF7">
        <w:rPr>
          <w:b/>
        </w:rPr>
        <w:t xml:space="preserve"> areas </w:t>
      </w:r>
      <w:r w:rsidR="00484465">
        <w:rPr>
          <w:b/>
        </w:rPr>
        <w:t>‘most widely</w:t>
      </w:r>
      <w:r w:rsidRPr="0087665F">
        <w:rPr>
          <w:b/>
        </w:rPr>
        <w:t xml:space="preserve"> discussed</w:t>
      </w:r>
      <w:r w:rsidR="00484465">
        <w:rPr>
          <w:b/>
        </w:rPr>
        <w:t>’</w:t>
      </w:r>
      <w:r w:rsidRPr="0087665F">
        <w:rPr>
          <w:b/>
        </w:rPr>
        <w:t xml:space="preserve"> by respondents in 28 </w:t>
      </w:r>
      <w:r w:rsidR="006460CF">
        <w:rPr>
          <w:b/>
        </w:rPr>
        <w:t xml:space="preserve">territorial </w:t>
      </w:r>
      <w:r w:rsidRPr="0087665F">
        <w:rPr>
          <w:b/>
        </w:rPr>
        <w:t>dioceses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612"/>
        <w:gridCol w:w="553"/>
        <w:gridCol w:w="553"/>
        <w:gridCol w:w="550"/>
        <w:gridCol w:w="550"/>
        <w:gridCol w:w="1585"/>
      </w:tblGrid>
      <w:tr w:rsidR="00484465" w14:paraId="6692641B" w14:textId="77777777" w:rsidTr="00484465">
        <w:tc>
          <w:tcPr>
            <w:tcW w:w="0" w:type="auto"/>
          </w:tcPr>
          <w:p w14:paraId="5DB0AC3D" w14:textId="77777777" w:rsidR="00484465" w:rsidRPr="00484465" w:rsidRDefault="00484465" w:rsidP="006460CF">
            <w:pPr>
              <w:rPr>
                <w:rFonts w:cstheme="minorHAnsi"/>
                <w:b/>
                <w:sz w:val="20"/>
                <w:szCs w:val="20"/>
              </w:rPr>
            </w:pPr>
            <w:r w:rsidRPr="00484465">
              <w:rPr>
                <w:rFonts w:cstheme="minorHAnsi"/>
                <w:b/>
                <w:sz w:val="20"/>
                <w:szCs w:val="20"/>
              </w:rPr>
              <w:t>Topic</w:t>
            </w:r>
            <w:r w:rsidR="006460CF">
              <w:rPr>
                <w:rFonts w:cstheme="minorHAnsi"/>
                <w:b/>
                <w:sz w:val="20"/>
                <w:szCs w:val="20"/>
              </w:rPr>
              <w:t xml:space="preserve"> areas</w:t>
            </w:r>
            <w:r w:rsidRPr="00484465">
              <w:rPr>
                <w:rFonts w:cstheme="minorHAnsi"/>
                <w:b/>
                <w:sz w:val="20"/>
                <w:szCs w:val="20"/>
              </w:rPr>
              <w:t xml:space="preserve"> discussed in dioceses</w:t>
            </w:r>
          </w:p>
        </w:tc>
        <w:tc>
          <w:tcPr>
            <w:tcW w:w="0" w:type="auto"/>
            <w:gridSpan w:val="5"/>
          </w:tcPr>
          <w:p w14:paraId="5DCC8251" w14:textId="77777777" w:rsidR="00484465" w:rsidRPr="00484465" w:rsidRDefault="00484465" w:rsidP="00EB2CAE">
            <w:pPr>
              <w:rPr>
                <w:rFonts w:cstheme="minorHAnsi"/>
                <w:b/>
                <w:sz w:val="20"/>
                <w:szCs w:val="20"/>
              </w:rPr>
            </w:pPr>
            <w:r w:rsidRPr="00484465">
              <w:rPr>
                <w:rFonts w:cstheme="minorHAnsi"/>
                <w:b/>
                <w:sz w:val="20"/>
                <w:szCs w:val="20"/>
              </w:rPr>
              <w:t>Most discussed</w:t>
            </w:r>
            <w:r w:rsidR="00691BF7">
              <w:rPr>
                <w:rFonts w:cstheme="minorHAnsi"/>
                <w:b/>
                <w:sz w:val="20"/>
                <w:szCs w:val="20"/>
              </w:rPr>
              <w:t xml:space="preserve"> within diocese</w:t>
            </w:r>
            <w:r w:rsidR="006460CF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0" w:type="auto"/>
            <w:vMerge w:val="restart"/>
          </w:tcPr>
          <w:p w14:paraId="09B03552" w14:textId="77777777" w:rsidR="00484465" w:rsidRDefault="00484465" w:rsidP="00967F29">
            <w:pPr>
              <w:rPr>
                <w:rFonts w:cstheme="minorHAnsi"/>
                <w:b/>
                <w:sz w:val="20"/>
                <w:szCs w:val="20"/>
              </w:rPr>
            </w:pPr>
            <w:r w:rsidRPr="00484465">
              <w:rPr>
                <w:rFonts w:cstheme="minorHAnsi"/>
                <w:b/>
                <w:sz w:val="20"/>
                <w:szCs w:val="20"/>
              </w:rPr>
              <w:t xml:space="preserve">Total dioceses </w:t>
            </w:r>
          </w:p>
          <w:p w14:paraId="47FA40BD" w14:textId="77777777" w:rsidR="00484465" w:rsidRPr="00484465" w:rsidRDefault="00484465" w:rsidP="00967F29">
            <w:pPr>
              <w:rPr>
                <w:rFonts w:cstheme="minorHAnsi"/>
                <w:b/>
                <w:sz w:val="20"/>
                <w:szCs w:val="20"/>
              </w:rPr>
            </w:pPr>
            <w:r w:rsidRPr="00484465">
              <w:rPr>
                <w:rFonts w:cstheme="minorHAnsi"/>
                <w:b/>
                <w:sz w:val="20"/>
                <w:szCs w:val="20"/>
              </w:rPr>
              <w:t>where discussed</w:t>
            </w:r>
          </w:p>
        </w:tc>
      </w:tr>
      <w:tr w:rsidR="00484465" w14:paraId="0B8B5771" w14:textId="77777777" w:rsidTr="00484465">
        <w:tc>
          <w:tcPr>
            <w:tcW w:w="0" w:type="auto"/>
          </w:tcPr>
          <w:p w14:paraId="19174AA9" w14:textId="77777777" w:rsidR="00484465" w:rsidRPr="00484465" w:rsidRDefault="00484465" w:rsidP="007F1D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D97E99F" w14:textId="77777777" w:rsidR="00484465" w:rsidRPr="00484465" w:rsidRDefault="00484465" w:rsidP="00CE06FD">
            <w:pPr>
              <w:rPr>
                <w:rFonts w:cstheme="minorHAnsi"/>
                <w:b/>
                <w:sz w:val="20"/>
                <w:szCs w:val="20"/>
              </w:rPr>
            </w:pPr>
            <w:r w:rsidRPr="00484465">
              <w:rPr>
                <w:rFonts w:cstheme="minorHAnsi"/>
                <w:b/>
                <w:sz w:val="20"/>
                <w:szCs w:val="20"/>
              </w:rPr>
              <w:t># 1</w:t>
            </w:r>
          </w:p>
        </w:tc>
        <w:tc>
          <w:tcPr>
            <w:tcW w:w="0" w:type="auto"/>
          </w:tcPr>
          <w:p w14:paraId="37EA4364" w14:textId="77777777" w:rsidR="00484465" w:rsidRPr="00484465" w:rsidRDefault="00484465" w:rsidP="00CE06FD">
            <w:pPr>
              <w:rPr>
                <w:rFonts w:cstheme="minorHAnsi"/>
                <w:b/>
                <w:sz w:val="20"/>
                <w:szCs w:val="20"/>
              </w:rPr>
            </w:pPr>
            <w:r w:rsidRPr="00484465">
              <w:rPr>
                <w:rFonts w:cstheme="minorHAnsi"/>
                <w:b/>
                <w:sz w:val="20"/>
                <w:szCs w:val="20"/>
              </w:rPr>
              <w:t>#2</w:t>
            </w:r>
          </w:p>
        </w:tc>
        <w:tc>
          <w:tcPr>
            <w:tcW w:w="0" w:type="auto"/>
          </w:tcPr>
          <w:p w14:paraId="312829DF" w14:textId="77777777" w:rsidR="00484465" w:rsidRPr="00484465" w:rsidRDefault="00484465" w:rsidP="00CE06FD">
            <w:pPr>
              <w:rPr>
                <w:rFonts w:cstheme="minorHAnsi"/>
                <w:b/>
                <w:sz w:val="20"/>
                <w:szCs w:val="20"/>
              </w:rPr>
            </w:pPr>
            <w:r w:rsidRPr="00484465">
              <w:rPr>
                <w:rFonts w:cstheme="minorHAnsi"/>
                <w:b/>
                <w:sz w:val="20"/>
                <w:szCs w:val="20"/>
              </w:rPr>
              <w:t>#3</w:t>
            </w:r>
          </w:p>
        </w:tc>
        <w:tc>
          <w:tcPr>
            <w:tcW w:w="0" w:type="auto"/>
          </w:tcPr>
          <w:p w14:paraId="6CDB21FB" w14:textId="77777777" w:rsidR="00484465" w:rsidRPr="00484465" w:rsidRDefault="00484465" w:rsidP="00CE06FD">
            <w:pPr>
              <w:rPr>
                <w:rFonts w:cstheme="minorHAnsi"/>
                <w:b/>
                <w:sz w:val="20"/>
                <w:szCs w:val="20"/>
              </w:rPr>
            </w:pPr>
            <w:r w:rsidRPr="00484465">
              <w:rPr>
                <w:rFonts w:cstheme="minorHAnsi"/>
                <w:b/>
                <w:sz w:val="20"/>
                <w:szCs w:val="20"/>
              </w:rPr>
              <w:t>#4</w:t>
            </w:r>
          </w:p>
        </w:tc>
        <w:tc>
          <w:tcPr>
            <w:tcW w:w="0" w:type="auto"/>
          </w:tcPr>
          <w:p w14:paraId="2DB38F73" w14:textId="77777777" w:rsidR="00484465" w:rsidRPr="00484465" w:rsidRDefault="00484465" w:rsidP="00CE06FD">
            <w:pPr>
              <w:rPr>
                <w:rFonts w:cstheme="minorHAnsi"/>
                <w:b/>
                <w:sz w:val="20"/>
                <w:szCs w:val="20"/>
              </w:rPr>
            </w:pPr>
            <w:r w:rsidRPr="00484465">
              <w:rPr>
                <w:rFonts w:cstheme="minorHAnsi"/>
                <w:b/>
                <w:sz w:val="20"/>
                <w:szCs w:val="20"/>
              </w:rPr>
              <w:t>#5</w:t>
            </w:r>
          </w:p>
        </w:tc>
        <w:tc>
          <w:tcPr>
            <w:tcW w:w="0" w:type="auto"/>
            <w:vMerge/>
          </w:tcPr>
          <w:p w14:paraId="5C92EC97" w14:textId="77777777" w:rsidR="00484465" w:rsidRPr="00484465" w:rsidRDefault="00484465" w:rsidP="00967F2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4465" w14:paraId="600125D5" w14:textId="77777777" w:rsidTr="00A55D76">
        <w:trPr>
          <w:trHeight w:val="170"/>
        </w:trPr>
        <w:tc>
          <w:tcPr>
            <w:tcW w:w="0" w:type="auto"/>
          </w:tcPr>
          <w:p w14:paraId="7BA643D1" w14:textId="77777777" w:rsidR="00484465" w:rsidRPr="00484465" w:rsidRDefault="00A55D76" w:rsidP="00A55D7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484465" w:rsidRPr="00484465">
              <w:rPr>
                <w:rFonts w:cstheme="minorHAnsi"/>
                <w:sz w:val="20"/>
                <w:szCs w:val="20"/>
              </w:rPr>
              <w:t>ove God, Love Neighbour</w:t>
            </w:r>
          </w:p>
        </w:tc>
        <w:tc>
          <w:tcPr>
            <w:tcW w:w="0" w:type="auto"/>
          </w:tcPr>
          <w:p w14:paraId="3484AADA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609B45D5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FD2F803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B8159B1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AA388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C407624" w14:textId="77777777" w:rsidR="00484465" w:rsidRPr="00484465" w:rsidRDefault="00484465" w:rsidP="007F1D9F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28</w:t>
            </w:r>
          </w:p>
        </w:tc>
      </w:tr>
      <w:tr w:rsidR="00484465" w14:paraId="1EF335BC" w14:textId="77777777" w:rsidTr="00484465">
        <w:tc>
          <w:tcPr>
            <w:tcW w:w="0" w:type="auto"/>
          </w:tcPr>
          <w:p w14:paraId="271545A8" w14:textId="77777777" w:rsidR="00484465" w:rsidRPr="00484465" w:rsidRDefault="00484465" w:rsidP="00967F2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Leadership &amp; Church Governance</w:t>
            </w:r>
          </w:p>
        </w:tc>
        <w:tc>
          <w:tcPr>
            <w:tcW w:w="0" w:type="auto"/>
          </w:tcPr>
          <w:p w14:paraId="761DF95F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6F4AC51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383948A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9E64861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2736756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0502DA1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27</w:t>
            </w:r>
          </w:p>
        </w:tc>
      </w:tr>
      <w:tr w:rsidR="00484465" w14:paraId="273BF4F3" w14:textId="77777777" w:rsidTr="00484465">
        <w:tc>
          <w:tcPr>
            <w:tcW w:w="0" w:type="auto"/>
          </w:tcPr>
          <w:p w14:paraId="73612245" w14:textId="77777777" w:rsidR="00484465" w:rsidRPr="00484465" w:rsidRDefault="00484465" w:rsidP="00967F2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Sacraments</w:t>
            </w:r>
          </w:p>
        </w:tc>
        <w:tc>
          <w:tcPr>
            <w:tcW w:w="0" w:type="auto"/>
          </w:tcPr>
          <w:p w14:paraId="706CA966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3ABA378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AAAFE59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4CEC684F" w14:textId="77777777" w:rsidR="00484465" w:rsidRPr="00484465" w:rsidRDefault="00484465" w:rsidP="003F5446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46A7F95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4AD4BA6" w14:textId="77777777" w:rsidR="00484465" w:rsidRPr="00484465" w:rsidRDefault="00484465" w:rsidP="003F5446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27</w:t>
            </w:r>
          </w:p>
        </w:tc>
      </w:tr>
      <w:tr w:rsidR="00484465" w14:paraId="79846803" w14:textId="77777777" w:rsidTr="00484465">
        <w:tc>
          <w:tcPr>
            <w:tcW w:w="0" w:type="auto"/>
          </w:tcPr>
          <w:p w14:paraId="4230D95B" w14:textId="77777777" w:rsidR="00484465" w:rsidRPr="00484465" w:rsidRDefault="00484465" w:rsidP="00967F2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Mass &amp; Eucharist</w:t>
            </w:r>
          </w:p>
        </w:tc>
        <w:tc>
          <w:tcPr>
            <w:tcW w:w="0" w:type="auto"/>
          </w:tcPr>
          <w:p w14:paraId="670F520C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CB75F8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5797C3F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0A02580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ACB6436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7D034C0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84465" w14:paraId="22871919" w14:textId="77777777" w:rsidTr="00484465">
        <w:tc>
          <w:tcPr>
            <w:tcW w:w="0" w:type="auto"/>
          </w:tcPr>
          <w:p w14:paraId="6797391E" w14:textId="77777777" w:rsidR="00484465" w:rsidRPr="00484465" w:rsidRDefault="00484465" w:rsidP="00967F2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Social Justice &amp; Environment</w:t>
            </w:r>
          </w:p>
        </w:tc>
        <w:tc>
          <w:tcPr>
            <w:tcW w:w="0" w:type="auto"/>
          </w:tcPr>
          <w:p w14:paraId="2F7721D2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8593AAD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22CB9F7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8E71EA1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058F07E5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B2E83E7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28</w:t>
            </w:r>
          </w:p>
        </w:tc>
      </w:tr>
      <w:tr w:rsidR="00484465" w14:paraId="5AF49C88" w14:textId="77777777" w:rsidTr="00484465">
        <w:tc>
          <w:tcPr>
            <w:tcW w:w="0" w:type="auto"/>
          </w:tcPr>
          <w:p w14:paraId="33DAA84D" w14:textId="77777777" w:rsidR="00484465" w:rsidRPr="00484465" w:rsidRDefault="00484465" w:rsidP="00967F29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84465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</w:t>
            </w:r>
            <w:r w:rsidR="006460C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utreach &amp; O</w:t>
            </w:r>
            <w:r w:rsidRPr="00484465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ther</w:t>
            </w:r>
          </w:p>
        </w:tc>
        <w:tc>
          <w:tcPr>
            <w:tcW w:w="0" w:type="auto"/>
          </w:tcPr>
          <w:p w14:paraId="6677721B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F615160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37B8201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43727B2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2FAAE81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60578B5" w14:textId="77777777" w:rsidR="00484465" w:rsidRPr="00484465" w:rsidRDefault="00484465" w:rsidP="00CE06FD">
            <w:pPr>
              <w:rPr>
                <w:rFonts w:cstheme="minorHAnsi"/>
                <w:sz w:val="20"/>
                <w:szCs w:val="20"/>
              </w:rPr>
            </w:pPr>
            <w:r w:rsidRPr="00484465">
              <w:rPr>
                <w:rFonts w:cstheme="minorHAnsi"/>
                <w:sz w:val="20"/>
                <w:szCs w:val="20"/>
              </w:rPr>
              <w:t>28</w:t>
            </w:r>
          </w:p>
        </w:tc>
      </w:tr>
    </w:tbl>
    <w:p w14:paraId="7525F302" w14:textId="77777777" w:rsidR="0087665F" w:rsidRDefault="00C642B2" w:rsidP="001D29E9">
      <w:pPr>
        <w:rPr>
          <w:sz w:val="20"/>
          <w:szCs w:val="20"/>
        </w:rPr>
      </w:pPr>
      <w:r w:rsidRPr="00C642B2">
        <w:rPr>
          <w:sz w:val="20"/>
          <w:szCs w:val="20"/>
        </w:rPr>
        <w:t xml:space="preserve">Source:  NCPR, </w:t>
      </w:r>
      <w:r w:rsidRPr="00C642B2">
        <w:rPr>
          <w:i/>
          <w:sz w:val="20"/>
          <w:szCs w:val="20"/>
        </w:rPr>
        <w:t>Diocesan Reports</w:t>
      </w:r>
      <w:r w:rsidRPr="00C642B2">
        <w:rPr>
          <w:sz w:val="20"/>
          <w:szCs w:val="20"/>
        </w:rPr>
        <w:t xml:space="preserve">, March-April 2020 </w:t>
      </w:r>
    </w:p>
    <w:p w14:paraId="4BE87941" w14:textId="77777777" w:rsidR="00BE103E" w:rsidRPr="00BE103E" w:rsidRDefault="00BE103E" w:rsidP="00BE103E">
      <w:pPr>
        <w:rPr>
          <w:b/>
        </w:rPr>
      </w:pPr>
      <w:r w:rsidRPr="00BE103E">
        <w:rPr>
          <w:b/>
        </w:rPr>
        <w:t xml:space="preserve">Most widely discussed </w:t>
      </w:r>
      <w:r w:rsidR="003B2EE2">
        <w:rPr>
          <w:b/>
        </w:rPr>
        <w:t>issues</w:t>
      </w:r>
      <w:r w:rsidRPr="00BE103E">
        <w:rPr>
          <w:b/>
        </w:rPr>
        <w:t xml:space="preserve"> </w:t>
      </w:r>
      <w:r w:rsidR="00295F68">
        <w:rPr>
          <w:b/>
        </w:rPr>
        <w:t xml:space="preserve">within and </w:t>
      </w:r>
      <w:r w:rsidRPr="00BE103E">
        <w:rPr>
          <w:b/>
        </w:rPr>
        <w:t>across dioceses</w:t>
      </w:r>
    </w:p>
    <w:p w14:paraId="30809140" w14:textId="77777777" w:rsidR="00991E77" w:rsidRDefault="00586E12" w:rsidP="00991E77">
      <w:r>
        <w:t xml:space="preserve">As each </w:t>
      </w:r>
      <w:r w:rsidR="00991E77" w:rsidRPr="00540B09">
        <w:rPr>
          <w:i/>
        </w:rPr>
        <w:t>Diocesan Report</w:t>
      </w:r>
      <w:r w:rsidR="00991E77" w:rsidRPr="006C7AAA">
        <w:t xml:space="preserve"> </w:t>
      </w:r>
      <w:r w:rsidR="00991E77">
        <w:t>indicate</w:t>
      </w:r>
      <w:r>
        <w:t>s</w:t>
      </w:r>
      <w:r w:rsidR="00991E77">
        <w:t xml:space="preserve"> which of the 77 </w:t>
      </w:r>
      <w:r>
        <w:t>issues</w:t>
      </w:r>
      <w:r w:rsidR="00991E77">
        <w:t xml:space="preserve"> were the</w:t>
      </w:r>
      <w:r>
        <w:t xml:space="preserve"> </w:t>
      </w:r>
      <w:r w:rsidR="005320A7">
        <w:t>‘</w:t>
      </w:r>
      <w:r>
        <w:t>most prominent</w:t>
      </w:r>
      <w:r w:rsidR="005320A7">
        <w:t>’</w:t>
      </w:r>
      <w:r>
        <w:t xml:space="preserve"> or </w:t>
      </w:r>
      <w:r w:rsidR="00991E77">
        <w:t xml:space="preserve">‘most widely discussed’ </w:t>
      </w:r>
      <w:r>
        <w:t>by respondents</w:t>
      </w:r>
      <w:r w:rsidR="005320A7">
        <w:t>,</w:t>
      </w:r>
      <w:r>
        <w:t xml:space="preserve"> </w:t>
      </w:r>
      <w:r w:rsidR="005320A7">
        <w:t>it is</w:t>
      </w:r>
      <w:r w:rsidR="009F6CF4">
        <w:t xml:space="preserve"> </w:t>
      </w:r>
      <w:r w:rsidR="005320A7">
        <w:t xml:space="preserve">possible to give </w:t>
      </w:r>
      <w:r w:rsidR="00991E77">
        <w:t xml:space="preserve">each </w:t>
      </w:r>
      <w:r w:rsidR="009F6CF4">
        <w:t>issue</w:t>
      </w:r>
      <w:r w:rsidR="00991E77">
        <w:t xml:space="preserve"> a </w:t>
      </w:r>
      <w:r w:rsidR="005320A7">
        <w:t xml:space="preserve">‘prominence’ </w:t>
      </w:r>
      <w:r w:rsidR="00991E77" w:rsidRPr="006C7AAA">
        <w:t>ranking</w:t>
      </w:r>
      <w:r w:rsidR="00991E77">
        <w:t xml:space="preserve"> </w:t>
      </w:r>
      <w:r w:rsidR="005320A7">
        <w:t xml:space="preserve">both </w:t>
      </w:r>
      <w:r w:rsidR="00991E77">
        <w:t xml:space="preserve">within and across dioceses. </w:t>
      </w:r>
    </w:p>
    <w:p w14:paraId="4F510789" w14:textId="77777777" w:rsidR="00B25B6F" w:rsidRDefault="0078334E" w:rsidP="002C73E1">
      <w:r>
        <w:t xml:space="preserve">Table </w:t>
      </w:r>
      <w:r w:rsidR="002618B0">
        <w:t>2</w:t>
      </w:r>
      <w:r w:rsidR="00BE103E">
        <w:t xml:space="preserve"> </w:t>
      </w:r>
      <w:r w:rsidR="00E63159">
        <w:t>indicate</w:t>
      </w:r>
      <w:r w:rsidR="00BE103E">
        <w:t>s</w:t>
      </w:r>
      <w:r w:rsidR="005320A7">
        <w:t xml:space="preserve"> the degree</w:t>
      </w:r>
      <w:r w:rsidR="00E63159">
        <w:t xml:space="preserve"> </w:t>
      </w:r>
      <w:r w:rsidR="005320A7">
        <w:t>(#</w:t>
      </w:r>
      <w:r w:rsidR="00E63159">
        <w:t xml:space="preserve"> 1-# 6+</w:t>
      </w:r>
      <w:r w:rsidR="005320A7">
        <w:t>)</w:t>
      </w:r>
      <w:r w:rsidR="00BE103E">
        <w:t xml:space="preserve"> to which </w:t>
      </w:r>
      <w:r w:rsidR="009F6CF4">
        <w:t>a</w:t>
      </w:r>
      <w:r w:rsidR="002C7959">
        <w:t>n issue</w:t>
      </w:r>
      <w:r w:rsidR="00BE103E">
        <w:t xml:space="preserve"> was ‘most</w:t>
      </w:r>
      <w:r w:rsidR="00E63159">
        <w:t xml:space="preserve"> widely discussed</w:t>
      </w:r>
      <w:r w:rsidR="00BE103E">
        <w:t>’</w:t>
      </w:r>
      <w:r w:rsidR="00E63159">
        <w:t xml:space="preserve"> </w:t>
      </w:r>
      <w:r w:rsidR="00991E77" w:rsidRPr="005320A7">
        <w:rPr>
          <w:u w:val="single"/>
        </w:rPr>
        <w:t>within</w:t>
      </w:r>
      <w:r w:rsidR="00E63159">
        <w:t xml:space="preserve"> </w:t>
      </w:r>
      <w:r w:rsidR="005320A7">
        <w:t>a</w:t>
      </w:r>
      <w:r w:rsidR="00E63159">
        <w:t xml:space="preserve"> diocese</w:t>
      </w:r>
      <w:r w:rsidR="005320A7">
        <w:t>. It also shows the total number of dioceses where it was ‘most widely discussed’.</w:t>
      </w:r>
      <w:r w:rsidR="00E07CBB">
        <w:t xml:space="preserve">  For example, ‘Greater inclusion for all’ was </w:t>
      </w:r>
      <w:r w:rsidR="005320A7">
        <w:t xml:space="preserve">the #1 </w:t>
      </w:r>
      <w:r w:rsidR="00570942">
        <w:t xml:space="preserve">‘most widely discussed’ </w:t>
      </w:r>
      <w:r w:rsidR="005320A7">
        <w:t>issue</w:t>
      </w:r>
      <w:r w:rsidR="009F6CF4">
        <w:t xml:space="preserve"> with</w:t>
      </w:r>
      <w:r w:rsidR="005320A7">
        <w:t xml:space="preserve">in 27 dioceses </w:t>
      </w:r>
      <w:r w:rsidR="00DD4E45">
        <w:t xml:space="preserve">and ‘most widely discussed’ </w:t>
      </w:r>
      <w:r w:rsidR="002C7959">
        <w:t>issue</w:t>
      </w:r>
      <w:r w:rsidR="00DD4E45">
        <w:t xml:space="preserve"> </w:t>
      </w:r>
      <w:r w:rsidR="009F6CF4">
        <w:t>across</w:t>
      </w:r>
      <w:r w:rsidR="00DD4E45">
        <w:t xml:space="preserve"> </w:t>
      </w:r>
      <w:r w:rsidR="00570942">
        <w:t>28 dioceses</w:t>
      </w:r>
      <w:r w:rsidR="00DD4E45">
        <w:t>.</w:t>
      </w:r>
      <w:r w:rsidR="00570942">
        <w:t xml:space="preserve"> </w:t>
      </w:r>
      <w:r w:rsidR="002C73E1">
        <w:t xml:space="preserve">Table 2 </w:t>
      </w:r>
      <w:r w:rsidR="00B25B6F">
        <w:t xml:space="preserve">also </w:t>
      </w:r>
      <w:r w:rsidR="00991E77">
        <w:t>list</w:t>
      </w:r>
      <w:r w:rsidR="002C73E1">
        <w:t>s the top 20</w:t>
      </w:r>
      <w:r w:rsidR="00DD4E45">
        <w:t xml:space="preserve"> ‘most prominent’ or</w:t>
      </w:r>
      <w:r w:rsidR="002C73E1">
        <w:t xml:space="preserve"> ‘most widely discussed’ </w:t>
      </w:r>
      <w:r w:rsidR="002C7959">
        <w:t>issues</w:t>
      </w:r>
      <w:r w:rsidR="002C73E1">
        <w:t xml:space="preserve"> </w:t>
      </w:r>
      <w:r w:rsidR="002C73E1" w:rsidRPr="002C73E1">
        <w:rPr>
          <w:u w:val="single"/>
        </w:rPr>
        <w:t xml:space="preserve">across </w:t>
      </w:r>
      <w:r w:rsidR="002C73E1">
        <w:t xml:space="preserve">all dioceses and ranks them (1-20) </w:t>
      </w:r>
      <w:r w:rsidR="00991E77">
        <w:t xml:space="preserve">according to </w:t>
      </w:r>
      <w:r w:rsidR="002C73E1">
        <w:t>the total dioceses where they were discussed</w:t>
      </w:r>
      <w:r w:rsidR="00991E77">
        <w:t>.</w:t>
      </w:r>
      <w:r w:rsidR="002C73E1">
        <w:t xml:space="preserve"> </w:t>
      </w:r>
    </w:p>
    <w:p w14:paraId="729AF0F4" w14:textId="77777777" w:rsidR="002C73E1" w:rsidRDefault="00DD4E45" w:rsidP="00DD4E45">
      <w:r>
        <w:lastRenderedPageBreak/>
        <w:t>T</w:t>
      </w:r>
      <w:r w:rsidR="002C73E1">
        <w:t>he degree to which the</w:t>
      </w:r>
      <w:r w:rsidR="002C7959">
        <w:t xml:space="preserve"> issues</w:t>
      </w:r>
      <w:r w:rsidR="002C73E1">
        <w:t xml:space="preserve"> were ‘most widely discussed’ </w:t>
      </w:r>
      <w:r w:rsidR="002C73E1">
        <w:rPr>
          <w:u w:val="single"/>
        </w:rPr>
        <w:t>within</w:t>
      </w:r>
      <w:r w:rsidR="002C73E1">
        <w:t xml:space="preserve"> the dioceses</w:t>
      </w:r>
      <w:r w:rsidR="00B25B6F">
        <w:t xml:space="preserve"> </w:t>
      </w:r>
      <w:r w:rsidR="009F6CF4">
        <w:t>is also important</w:t>
      </w:r>
      <w:r w:rsidR="002C73E1">
        <w:t xml:space="preserve">.  </w:t>
      </w:r>
      <w:r>
        <w:t xml:space="preserve">‘Greater role for women’, for example, was the #1 ‘most widely discussed’ </w:t>
      </w:r>
      <w:r w:rsidR="002C7959">
        <w:t xml:space="preserve">issue </w:t>
      </w:r>
      <w:r>
        <w:t xml:space="preserve">within 21 dioceses, ‘Fighting for human rights issues’ </w:t>
      </w:r>
      <w:r w:rsidR="006261D1">
        <w:t xml:space="preserve">was </w:t>
      </w:r>
      <w:r>
        <w:t xml:space="preserve">#1 in 18 dioceses, and ‘Ending compulsory celibacy &amp; allowing priests to marry’ </w:t>
      </w:r>
      <w:r w:rsidR="006261D1">
        <w:t>was</w:t>
      </w:r>
      <w:r>
        <w:t xml:space="preserve"> # 1 in 15 dioceses. ‘</w:t>
      </w:r>
      <w:r w:rsidR="002C73E1">
        <w:t>Care of Neighbour’</w:t>
      </w:r>
      <w:r>
        <w:t xml:space="preserve">, however, although </w:t>
      </w:r>
      <w:r w:rsidR="002C73E1">
        <w:t xml:space="preserve">‘most widely discussed’ across 25 dioceses, </w:t>
      </w:r>
      <w:r>
        <w:t>wa</w:t>
      </w:r>
      <w:r w:rsidR="00B25B6F">
        <w:t xml:space="preserve">s </w:t>
      </w:r>
      <w:r w:rsidR="002C73E1">
        <w:t># 1 within just 4 dioceses</w:t>
      </w:r>
      <w:r>
        <w:t xml:space="preserve">. </w:t>
      </w:r>
    </w:p>
    <w:p w14:paraId="3D1AA6D8" w14:textId="77777777" w:rsidR="009F6CF4" w:rsidRDefault="002618B0" w:rsidP="006261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</w:t>
      </w:r>
      <w:r w:rsidR="00E07CB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: </w:t>
      </w:r>
      <w:r w:rsidR="00E07CBB">
        <w:rPr>
          <w:b/>
          <w:sz w:val="24"/>
          <w:szCs w:val="24"/>
        </w:rPr>
        <w:t>Top 20</w:t>
      </w:r>
      <w:r w:rsidR="006261D1">
        <w:rPr>
          <w:b/>
          <w:sz w:val="24"/>
          <w:szCs w:val="24"/>
        </w:rPr>
        <w:t xml:space="preserve"> ‘most prominent’ or</w:t>
      </w:r>
      <w:r w:rsidR="00E07CBB">
        <w:rPr>
          <w:b/>
          <w:sz w:val="24"/>
          <w:szCs w:val="24"/>
        </w:rPr>
        <w:t xml:space="preserve"> </w:t>
      </w:r>
      <w:r w:rsidR="00B25B6F">
        <w:rPr>
          <w:b/>
          <w:sz w:val="24"/>
          <w:szCs w:val="24"/>
        </w:rPr>
        <w:t>‘</w:t>
      </w:r>
      <w:r w:rsidR="00E07CBB">
        <w:rPr>
          <w:b/>
          <w:sz w:val="24"/>
          <w:szCs w:val="24"/>
        </w:rPr>
        <w:t>m</w:t>
      </w:r>
      <w:r w:rsidRPr="006E2C59">
        <w:rPr>
          <w:b/>
          <w:sz w:val="24"/>
          <w:szCs w:val="24"/>
        </w:rPr>
        <w:t>ost widely discussed</w:t>
      </w:r>
      <w:r w:rsidR="00B25B6F">
        <w:rPr>
          <w:b/>
          <w:sz w:val="24"/>
          <w:szCs w:val="24"/>
        </w:rPr>
        <w:t>’</w:t>
      </w:r>
      <w:r w:rsidRPr="006E2C59">
        <w:rPr>
          <w:b/>
          <w:sz w:val="24"/>
          <w:szCs w:val="24"/>
        </w:rPr>
        <w:t xml:space="preserve"> </w:t>
      </w:r>
      <w:r w:rsidR="002C7959">
        <w:rPr>
          <w:b/>
          <w:sz w:val="24"/>
          <w:szCs w:val="24"/>
        </w:rPr>
        <w:t>issues</w:t>
      </w:r>
      <w:r w:rsidRPr="006E2C59">
        <w:rPr>
          <w:b/>
          <w:sz w:val="24"/>
          <w:szCs w:val="24"/>
        </w:rPr>
        <w:t xml:space="preserve"> in </w:t>
      </w:r>
      <w:r w:rsidR="002C7959">
        <w:rPr>
          <w:b/>
          <w:sz w:val="24"/>
          <w:szCs w:val="24"/>
        </w:rPr>
        <w:t>submissions:</w:t>
      </w:r>
      <w:r w:rsidRPr="006E2C59">
        <w:rPr>
          <w:b/>
          <w:sz w:val="24"/>
          <w:szCs w:val="24"/>
        </w:rPr>
        <w:t xml:space="preserve"> </w:t>
      </w:r>
      <w:r w:rsidR="006261D1">
        <w:rPr>
          <w:b/>
          <w:sz w:val="24"/>
          <w:szCs w:val="24"/>
        </w:rPr>
        <w:t xml:space="preserve">within </w:t>
      </w:r>
    </w:p>
    <w:p w14:paraId="427F7D04" w14:textId="77777777" w:rsidR="002618B0" w:rsidRPr="006E2C59" w:rsidRDefault="009F6CF4" w:rsidP="006261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B25B6F">
        <w:rPr>
          <w:b/>
          <w:sz w:val="24"/>
          <w:szCs w:val="24"/>
        </w:rPr>
        <w:t xml:space="preserve">and </w:t>
      </w:r>
      <w:r w:rsidR="006261D1">
        <w:rPr>
          <w:b/>
          <w:sz w:val="24"/>
          <w:szCs w:val="24"/>
        </w:rPr>
        <w:t>across Australia</w:t>
      </w:r>
      <w:r w:rsidR="002C7959">
        <w:rPr>
          <w:b/>
          <w:sz w:val="24"/>
          <w:szCs w:val="24"/>
        </w:rPr>
        <w:t>’s 28</w:t>
      </w:r>
      <w:r w:rsidR="006261D1">
        <w:rPr>
          <w:b/>
          <w:sz w:val="24"/>
          <w:szCs w:val="24"/>
        </w:rPr>
        <w:t xml:space="preserve"> territorial </w:t>
      </w:r>
      <w:r w:rsidR="00B25B6F">
        <w:rPr>
          <w:b/>
          <w:sz w:val="24"/>
          <w:szCs w:val="24"/>
        </w:rPr>
        <w:t>dioceses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425"/>
        <w:gridCol w:w="425"/>
        <w:gridCol w:w="425"/>
        <w:gridCol w:w="567"/>
        <w:gridCol w:w="1560"/>
      </w:tblGrid>
      <w:tr w:rsidR="002618B0" w14:paraId="5CF26C70" w14:textId="77777777" w:rsidTr="006261D1">
        <w:tc>
          <w:tcPr>
            <w:tcW w:w="4503" w:type="dxa"/>
            <w:vMerge w:val="restart"/>
          </w:tcPr>
          <w:p w14:paraId="2FEBE669" w14:textId="77777777" w:rsidR="002618B0" w:rsidRPr="006261D1" w:rsidRDefault="00B25B6F" w:rsidP="002C7959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Ranking of</w:t>
            </w:r>
            <w:r w:rsidR="006261D1" w:rsidRPr="006261D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6CF4">
              <w:rPr>
                <w:rFonts w:cstheme="minorHAnsi"/>
                <w:b/>
                <w:sz w:val="20"/>
                <w:szCs w:val="20"/>
              </w:rPr>
              <w:t>‘</w:t>
            </w:r>
            <w:r w:rsidR="006261D1" w:rsidRPr="006261D1">
              <w:rPr>
                <w:rFonts w:cstheme="minorHAnsi"/>
                <w:b/>
                <w:sz w:val="20"/>
                <w:szCs w:val="20"/>
              </w:rPr>
              <w:t>most prominent</w:t>
            </w:r>
            <w:r w:rsidR="009F6CF4">
              <w:rPr>
                <w:rFonts w:cstheme="minorHAnsi"/>
                <w:b/>
                <w:sz w:val="20"/>
                <w:szCs w:val="20"/>
              </w:rPr>
              <w:t>’</w:t>
            </w:r>
            <w:r w:rsidR="006261D1" w:rsidRPr="006261D1">
              <w:rPr>
                <w:rFonts w:cstheme="minorHAnsi"/>
                <w:b/>
                <w:sz w:val="20"/>
                <w:szCs w:val="20"/>
              </w:rPr>
              <w:t xml:space="preserve"> and</w:t>
            </w:r>
            <w:r w:rsidR="002618B0" w:rsidRPr="006261D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6CF4">
              <w:rPr>
                <w:rFonts w:cstheme="minorHAnsi"/>
                <w:b/>
                <w:sz w:val="20"/>
                <w:szCs w:val="20"/>
              </w:rPr>
              <w:t>‘</w:t>
            </w:r>
            <w:r w:rsidR="002618B0" w:rsidRPr="006261D1">
              <w:rPr>
                <w:rFonts w:cstheme="minorHAnsi"/>
                <w:b/>
                <w:sz w:val="20"/>
                <w:szCs w:val="20"/>
              </w:rPr>
              <w:t>most widely discussed</w:t>
            </w:r>
            <w:r w:rsidR="009F6CF4">
              <w:rPr>
                <w:rFonts w:cstheme="minorHAnsi"/>
                <w:b/>
                <w:sz w:val="20"/>
                <w:szCs w:val="20"/>
              </w:rPr>
              <w:t>’</w:t>
            </w:r>
            <w:r w:rsidR="006261D1" w:rsidRPr="006261D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C7959">
              <w:rPr>
                <w:rFonts w:cstheme="minorHAnsi"/>
                <w:b/>
                <w:sz w:val="20"/>
                <w:szCs w:val="20"/>
              </w:rPr>
              <w:t>issues</w:t>
            </w:r>
            <w:r w:rsidR="002618B0" w:rsidRPr="006261D1">
              <w:rPr>
                <w:rFonts w:cstheme="minorHAnsi"/>
                <w:b/>
                <w:sz w:val="20"/>
                <w:szCs w:val="20"/>
              </w:rPr>
              <w:t xml:space="preserve"> (Topic</w:t>
            </w:r>
            <w:r w:rsidRPr="006261D1">
              <w:rPr>
                <w:rFonts w:cstheme="minorHAnsi"/>
                <w:b/>
                <w:sz w:val="20"/>
                <w:szCs w:val="20"/>
              </w:rPr>
              <w:t xml:space="preserve"> area</w:t>
            </w:r>
            <w:r w:rsidR="002618B0" w:rsidRPr="006261D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6"/>
          </w:tcPr>
          <w:p w14:paraId="07F30976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 xml:space="preserve">Most widely discussed </w:t>
            </w:r>
            <w:r w:rsidR="00B25B6F" w:rsidRPr="006261D1">
              <w:rPr>
                <w:rFonts w:cstheme="minorHAnsi"/>
                <w:b/>
                <w:sz w:val="20"/>
                <w:szCs w:val="20"/>
              </w:rPr>
              <w:t>with</w:t>
            </w:r>
            <w:r w:rsidRPr="006261D1">
              <w:rPr>
                <w:rFonts w:cstheme="minorHAnsi"/>
                <w:b/>
                <w:sz w:val="20"/>
                <w:szCs w:val="20"/>
              </w:rPr>
              <w:t>in diocese</w:t>
            </w:r>
            <w:r w:rsidR="004811FA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1560" w:type="dxa"/>
            <w:vMerge w:val="restart"/>
          </w:tcPr>
          <w:p w14:paraId="11BEBA01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Total dioceses where discussed</w:t>
            </w:r>
          </w:p>
        </w:tc>
      </w:tr>
      <w:tr w:rsidR="002618B0" w14:paraId="01E0088A" w14:textId="77777777" w:rsidTr="006261D1">
        <w:tc>
          <w:tcPr>
            <w:tcW w:w="4503" w:type="dxa"/>
            <w:vMerge/>
          </w:tcPr>
          <w:p w14:paraId="5B36E7BE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46542CE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# 1</w:t>
            </w:r>
          </w:p>
        </w:tc>
        <w:tc>
          <w:tcPr>
            <w:tcW w:w="567" w:type="dxa"/>
          </w:tcPr>
          <w:p w14:paraId="1BC0D06D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#2</w:t>
            </w:r>
          </w:p>
        </w:tc>
        <w:tc>
          <w:tcPr>
            <w:tcW w:w="425" w:type="dxa"/>
          </w:tcPr>
          <w:p w14:paraId="4F08952D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#3</w:t>
            </w:r>
          </w:p>
        </w:tc>
        <w:tc>
          <w:tcPr>
            <w:tcW w:w="425" w:type="dxa"/>
          </w:tcPr>
          <w:p w14:paraId="174FC64D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#4</w:t>
            </w:r>
          </w:p>
        </w:tc>
        <w:tc>
          <w:tcPr>
            <w:tcW w:w="425" w:type="dxa"/>
          </w:tcPr>
          <w:p w14:paraId="6A77417A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#5</w:t>
            </w:r>
          </w:p>
        </w:tc>
        <w:tc>
          <w:tcPr>
            <w:tcW w:w="567" w:type="dxa"/>
          </w:tcPr>
          <w:p w14:paraId="7C17C66D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#6+</w:t>
            </w:r>
          </w:p>
        </w:tc>
        <w:tc>
          <w:tcPr>
            <w:tcW w:w="1560" w:type="dxa"/>
            <w:vMerge/>
          </w:tcPr>
          <w:p w14:paraId="37242D06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18B0" w14:paraId="03A0CC82" w14:textId="77777777" w:rsidTr="006261D1">
        <w:trPr>
          <w:trHeight w:val="57"/>
        </w:trPr>
        <w:tc>
          <w:tcPr>
            <w:tcW w:w="4503" w:type="dxa"/>
          </w:tcPr>
          <w:p w14:paraId="0AB442F2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color w:val="000000"/>
                <w:sz w:val="20"/>
                <w:szCs w:val="20"/>
              </w:rPr>
              <w:t>Greater inclusion of all (A)</w:t>
            </w:r>
          </w:p>
        </w:tc>
        <w:tc>
          <w:tcPr>
            <w:tcW w:w="567" w:type="dxa"/>
          </w:tcPr>
          <w:p w14:paraId="4078E2DB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78A3CB14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EB2C5E3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5E669C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36403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708BF2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B5C059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</w:tr>
      <w:tr w:rsidR="002618B0" w14:paraId="35531526" w14:textId="77777777" w:rsidTr="006261D1">
        <w:trPr>
          <w:trHeight w:val="57"/>
        </w:trPr>
        <w:tc>
          <w:tcPr>
            <w:tcW w:w="4503" w:type="dxa"/>
          </w:tcPr>
          <w:p w14:paraId="4AD25737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color w:val="000000"/>
                <w:sz w:val="20"/>
                <w:szCs w:val="20"/>
              </w:rPr>
              <w:t>Greater involvement of the Laity</w:t>
            </w:r>
            <w:r w:rsidR="00E07CBB" w:rsidRPr="006261D1">
              <w:rPr>
                <w:rFonts w:cstheme="minorHAnsi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567" w:type="dxa"/>
          </w:tcPr>
          <w:p w14:paraId="0268B778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6532BF2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3FC9A2FB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357E4D45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9670F4E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1C308DE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0237E4D9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</w:tr>
      <w:tr w:rsidR="002618B0" w14:paraId="5D4E98D5" w14:textId="77777777" w:rsidTr="006261D1">
        <w:trPr>
          <w:trHeight w:val="57"/>
        </w:trPr>
        <w:tc>
          <w:tcPr>
            <w:tcW w:w="4503" w:type="dxa"/>
          </w:tcPr>
          <w:p w14:paraId="4F5F351D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6261D1">
              <w:rPr>
                <w:rFonts w:cstheme="minorHAnsi"/>
                <w:color w:val="000000"/>
                <w:sz w:val="20"/>
                <w:szCs w:val="20"/>
              </w:rPr>
              <w:t>Remaining faithful to Church teaching</w:t>
            </w:r>
            <w:r w:rsidR="00E07CBB" w:rsidRPr="006261D1">
              <w:rPr>
                <w:rFonts w:cstheme="minorHAnsi"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567" w:type="dxa"/>
          </w:tcPr>
          <w:p w14:paraId="12857001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426A15E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909662A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8A16359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26D448B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4EB620A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251CCF6F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</w:tr>
      <w:tr w:rsidR="002618B0" w14:paraId="66433066" w14:textId="77777777" w:rsidTr="006261D1">
        <w:trPr>
          <w:trHeight w:val="57"/>
        </w:trPr>
        <w:tc>
          <w:tcPr>
            <w:tcW w:w="4503" w:type="dxa"/>
          </w:tcPr>
          <w:p w14:paraId="2B4A1678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color w:val="000000"/>
                <w:sz w:val="20"/>
                <w:szCs w:val="20"/>
              </w:rPr>
              <w:t>Greater role for women</w:t>
            </w:r>
            <w:r w:rsidR="00E07CBB" w:rsidRPr="006261D1">
              <w:rPr>
                <w:rFonts w:cstheme="minorHAnsi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567" w:type="dxa"/>
          </w:tcPr>
          <w:p w14:paraId="544CD36F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14:paraId="22581B00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9108207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95914C4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97E9551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3336D8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CBBDF5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</w:tr>
      <w:tr w:rsidR="002618B0" w14:paraId="45A99922" w14:textId="77777777" w:rsidTr="006261D1">
        <w:trPr>
          <w:trHeight w:val="57"/>
        </w:trPr>
        <w:tc>
          <w:tcPr>
            <w:tcW w:w="4503" w:type="dxa"/>
          </w:tcPr>
          <w:p w14:paraId="3AA4B570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color w:val="000000"/>
                <w:sz w:val="20"/>
                <w:szCs w:val="20"/>
              </w:rPr>
              <w:t>Ending compulsory celibacy &amp; allowing priests to marry</w:t>
            </w:r>
            <w:r w:rsidR="00E07CBB" w:rsidRPr="006261D1">
              <w:rPr>
                <w:rFonts w:cstheme="minorHAns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567" w:type="dxa"/>
          </w:tcPr>
          <w:p w14:paraId="5BD1513E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0826A346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4D526F8C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E8E33C2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649AE0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9677E4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822A9D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</w:tr>
      <w:tr w:rsidR="002618B0" w14:paraId="3CAFC5FD" w14:textId="77777777" w:rsidTr="006261D1">
        <w:trPr>
          <w:trHeight w:val="57"/>
        </w:trPr>
        <w:tc>
          <w:tcPr>
            <w:tcW w:w="4503" w:type="dxa"/>
          </w:tcPr>
          <w:p w14:paraId="16648DDD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color w:val="000000"/>
                <w:sz w:val="20"/>
                <w:szCs w:val="20"/>
              </w:rPr>
              <w:t>Ordination of women</w:t>
            </w:r>
            <w:r w:rsidR="00E07CBB" w:rsidRPr="006261D1">
              <w:rPr>
                <w:rFonts w:cstheme="minorHAns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567" w:type="dxa"/>
          </w:tcPr>
          <w:p w14:paraId="2AA308F7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B9BAF9D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2EAD099B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3F56448B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905C0A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27D9C8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DA81BB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</w:tr>
      <w:tr w:rsidR="002618B0" w14:paraId="604CFCA0" w14:textId="77777777" w:rsidTr="006261D1">
        <w:trPr>
          <w:trHeight w:val="57"/>
        </w:trPr>
        <w:tc>
          <w:tcPr>
            <w:tcW w:w="4503" w:type="dxa"/>
          </w:tcPr>
          <w:p w14:paraId="3E4B59B2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6261D1">
              <w:rPr>
                <w:rFonts w:cstheme="minorHAnsi"/>
                <w:color w:val="000000"/>
                <w:sz w:val="20"/>
                <w:szCs w:val="20"/>
              </w:rPr>
              <w:t>Care for neighbour</w:t>
            </w:r>
            <w:r w:rsidR="00E07CBB" w:rsidRPr="006261D1">
              <w:rPr>
                <w:rFonts w:cstheme="minorHAnsi"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567" w:type="dxa"/>
          </w:tcPr>
          <w:p w14:paraId="6BBCD2E2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5F32468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BC890CF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86825AB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E7A1478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C702978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35F3AD52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2618B0" w14:paraId="1660474B" w14:textId="77777777" w:rsidTr="006261D1">
        <w:trPr>
          <w:trHeight w:val="57"/>
        </w:trPr>
        <w:tc>
          <w:tcPr>
            <w:tcW w:w="4503" w:type="dxa"/>
          </w:tcPr>
          <w:p w14:paraId="04847E2A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Greater trust, faith and hope in God</w:t>
            </w:r>
            <w:r w:rsidR="00E07CBB" w:rsidRPr="006261D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(A)</w:t>
            </w:r>
          </w:p>
        </w:tc>
        <w:tc>
          <w:tcPr>
            <w:tcW w:w="567" w:type="dxa"/>
          </w:tcPr>
          <w:p w14:paraId="69E8C448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21BEF2BF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35735524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2496120F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C3F83F8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6959E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46967DAE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</w:tr>
      <w:tr w:rsidR="002618B0" w14:paraId="576D973D" w14:textId="77777777" w:rsidTr="006261D1">
        <w:trPr>
          <w:trHeight w:val="57"/>
        </w:trPr>
        <w:tc>
          <w:tcPr>
            <w:tcW w:w="4503" w:type="dxa"/>
          </w:tcPr>
          <w:p w14:paraId="069BBBE0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Greater focus on Jesus Christ</w:t>
            </w:r>
            <w:r w:rsidR="00E07CBB" w:rsidRPr="006261D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(A)</w:t>
            </w:r>
          </w:p>
        </w:tc>
        <w:tc>
          <w:tcPr>
            <w:tcW w:w="567" w:type="dxa"/>
          </w:tcPr>
          <w:p w14:paraId="1F83399F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084659EA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0DF40E9F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6E1AE78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AEF2115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D52D9F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440482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</w:tr>
      <w:tr w:rsidR="002618B0" w14:paraId="6A06B4BC" w14:textId="77777777" w:rsidTr="006261D1">
        <w:trPr>
          <w:trHeight w:val="57"/>
        </w:trPr>
        <w:tc>
          <w:tcPr>
            <w:tcW w:w="4503" w:type="dxa"/>
          </w:tcPr>
          <w:p w14:paraId="224FD8DA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Better faith formation</w:t>
            </w:r>
            <w:r w:rsidR="00E07CBB" w:rsidRPr="006261D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(A)</w:t>
            </w:r>
          </w:p>
        </w:tc>
        <w:tc>
          <w:tcPr>
            <w:tcW w:w="567" w:type="dxa"/>
          </w:tcPr>
          <w:p w14:paraId="6C3EE6EE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42E1A18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37ABD845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694A8D4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01DBE16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0120924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3EF577EE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</w:tr>
      <w:tr w:rsidR="002618B0" w14:paraId="0C01B61D" w14:textId="77777777" w:rsidTr="006261D1">
        <w:trPr>
          <w:trHeight w:val="57"/>
        </w:trPr>
        <w:tc>
          <w:tcPr>
            <w:tcW w:w="4503" w:type="dxa"/>
          </w:tcPr>
          <w:p w14:paraId="1E5070E2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color w:val="000000"/>
                <w:sz w:val="20"/>
                <w:szCs w:val="20"/>
              </w:rPr>
              <w:t>Fighting for human rights issues</w:t>
            </w:r>
            <w:r w:rsidR="00E07CBB" w:rsidRPr="006261D1">
              <w:rPr>
                <w:rFonts w:cstheme="minorHAnsi"/>
                <w:color w:val="000000"/>
                <w:sz w:val="20"/>
                <w:szCs w:val="20"/>
              </w:rPr>
              <w:t xml:space="preserve"> (E)</w:t>
            </w:r>
          </w:p>
        </w:tc>
        <w:tc>
          <w:tcPr>
            <w:tcW w:w="567" w:type="dxa"/>
          </w:tcPr>
          <w:p w14:paraId="0F0746C0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2531F384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857D889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1AC17C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7D70FC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646391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4C7A6F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</w:tr>
      <w:tr w:rsidR="002618B0" w14:paraId="4481CD7C" w14:textId="77777777" w:rsidTr="006261D1">
        <w:trPr>
          <w:trHeight w:val="57"/>
        </w:trPr>
        <w:tc>
          <w:tcPr>
            <w:tcW w:w="4503" w:type="dxa"/>
          </w:tcPr>
          <w:p w14:paraId="38B43C72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color w:val="000000"/>
                <w:sz w:val="20"/>
                <w:szCs w:val="20"/>
              </w:rPr>
              <w:t>Greater outreach to youth</w:t>
            </w:r>
            <w:r w:rsidR="00E07CBB" w:rsidRPr="006261D1">
              <w:rPr>
                <w:rFonts w:cstheme="minorHAnsi"/>
                <w:color w:val="000000"/>
                <w:sz w:val="20"/>
                <w:szCs w:val="20"/>
              </w:rPr>
              <w:t xml:space="preserve"> (F)</w:t>
            </w:r>
          </w:p>
        </w:tc>
        <w:tc>
          <w:tcPr>
            <w:tcW w:w="567" w:type="dxa"/>
          </w:tcPr>
          <w:p w14:paraId="757FA6F2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3D348155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2252779E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0C3A4CA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C95C2A7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5988BE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3DDF8F1B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</w:tr>
      <w:tr w:rsidR="002618B0" w14:paraId="1CDBAAE6" w14:textId="77777777" w:rsidTr="006261D1">
        <w:trPr>
          <w:trHeight w:val="57"/>
        </w:trPr>
        <w:tc>
          <w:tcPr>
            <w:tcW w:w="4503" w:type="dxa"/>
          </w:tcPr>
          <w:p w14:paraId="42B4DD3F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6261D1">
              <w:rPr>
                <w:rFonts w:cstheme="minorHAnsi"/>
                <w:color w:val="000000"/>
                <w:sz w:val="20"/>
                <w:szCs w:val="20"/>
              </w:rPr>
              <w:t>Greater sharing of the faith with others</w:t>
            </w:r>
            <w:r w:rsidR="00E07CBB" w:rsidRPr="006261D1">
              <w:rPr>
                <w:rFonts w:cstheme="minorHAnsi"/>
                <w:color w:val="000000"/>
                <w:sz w:val="20"/>
                <w:szCs w:val="20"/>
              </w:rPr>
              <w:t xml:space="preserve"> (F)</w:t>
            </w:r>
          </w:p>
        </w:tc>
        <w:tc>
          <w:tcPr>
            <w:tcW w:w="567" w:type="dxa"/>
          </w:tcPr>
          <w:p w14:paraId="2F989381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0B5F78A2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68A39E3D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7FA7D9F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FB23972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352877B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02454F2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</w:tr>
      <w:tr w:rsidR="002618B0" w14:paraId="07D5113C" w14:textId="77777777" w:rsidTr="006261D1">
        <w:trPr>
          <w:trHeight w:val="57"/>
        </w:trPr>
        <w:tc>
          <w:tcPr>
            <w:tcW w:w="4503" w:type="dxa"/>
          </w:tcPr>
          <w:p w14:paraId="3237EB02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Greater focus on the Word of God</w:t>
            </w:r>
            <w:r w:rsidR="00E07CBB" w:rsidRPr="006261D1">
              <w:rPr>
                <w:rFonts w:cstheme="minorHAnsi"/>
                <w:sz w:val="20"/>
                <w:szCs w:val="20"/>
              </w:rPr>
              <w:t xml:space="preserve"> (A)</w:t>
            </w:r>
          </w:p>
        </w:tc>
        <w:tc>
          <w:tcPr>
            <w:tcW w:w="567" w:type="dxa"/>
          </w:tcPr>
          <w:p w14:paraId="263F8112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47651B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FEA748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2645357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6DDE16CE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C1DD3BE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1F512A6B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</w:tr>
      <w:tr w:rsidR="002618B0" w14:paraId="4CB47D4E" w14:textId="77777777" w:rsidTr="006261D1">
        <w:tc>
          <w:tcPr>
            <w:tcW w:w="4503" w:type="dxa"/>
          </w:tcPr>
          <w:p w14:paraId="1402CD6B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Greater leadership from bishops</w:t>
            </w:r>
            <w:r w:rsidR="00E07CBB" w:rsidRPr="006261D1">
              <w:rPr>
                <w:rFonts w:cstheme="minorHAnsi"/>
                <w:sz w:val="20"/>
                <w:szCs w:val="20"/>
              </w:rPr>
              <w:t xml:space="preserve"> (B)</w:t>
            </w:r>
          </w:p>
        </w:tc>
        <w:tc>
          <w:tcPr>
            <w:tcW w:w="567" w:type="dxa"/>
          </w:tcPr>
          <w:p w14:paraId="4A8F3233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85AE6F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D81C559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67CA5E6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6F535BB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81B2437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444957A7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</w:tr>
      <w:tr w:rsidR="002618B0" w14:paraId="0A44FEA4" w14:textId="77777777" w:rsidTr="006261D1">
        <w:tc>
          <w:tcPr>
            <w:tcW w:w="4503" w:type="dxa"/>
          </w:tcPr>
          <w:p w14:paraId="4337F8CB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Greater emphasis on prayer &amp; sacraments</w:t>
            </w:r>
            <w:r w:rsidR="00E07CBB" w:rsidRPr="006261D1">
              <w:rPr>
                <w:rFonts w:cstheme="minorHAnsi"/>
                <w:sz w:val="20"/>
                <w:szCs w:val="20"/>
              </w:rPr>
              <w:t xml:space="preserve"> (C)</w:t>
            </w:r>
          </w:p>
        </w:tc>
        <w:tc>
          <w:tcPr>
            <w:tcW w:w="567" w:type="dxa"/>
          </w:tcPr>
          <w:p w14:paraId="55506D52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097EBA02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5DB2A2AF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9180A1D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A48BBA7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53A339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A9AC54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</w:tr>
      <w:tr w:rsidR="002618B0" w14:paraId="6DA5EF64" w14:textId="77777777" w:rsidTr="006261D1">
        <w:tc>
          <w:tcPr>
            <w:tcW w:w="4503" w:type="dxa"/>
          </w:tcPr>
          <w:p w14:paraId="13E9912E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Care of the environment</w:t>
            </w:r>
            <w:r w:rsidR="00E07CBB" w:rsidRPr="006261D1">
              <w:rPr>
                <w:rFonts w:cstheme="minorHAnsi"/>
                <w:sz w:val="20"/>
                <w:szCs w:val="20"/>
              </w:rPr>
              <w:t xml:space="preserve"> (E)</w:t>
            </w:r>
          </w:p>
        </w:tc>
        <w:tc>
          <w:tcPr>
            <w:tcW w:w="567" w:type="dxa"/>
          </w:tcPr>
          <w:p w14:paraId="02733CA6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9EA62DB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FDF2807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3F0F756D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F18AB1E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069738C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826692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2618B0" w14:paraId="42A12E5D" w14:textId="77777777" w:rsidTr="006261D1">
        <w:tc>
          <w:tcPr>
            <w:tcW w:w="4503" w:type="dxa"/>
          </w:tcPr>
          <w:p w14:paraId="11DDBD53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New leadership &amp; governance model</w:t>
            </w:r>
            <w:r w:rsidR="00E07CBB" w:rsidRPr="006261D1">
              <w:rPr>
                <w:rFonts w:cstheme="minorHAnsi"/>
                <w:sz w:val="20"/>
                <w:szCs w:val="20"/>
              </w:rPr>
              <w:t xml:space="preserve"> (B)</w:t>
            </w:r>
          </w:p>
        </w:tc>
        <w:tc>
          <w:tcPr>
            <w:tcW w:w="567" w:type="dxa"/>
          </w:tcPr>
          <w:p w14:paraId="02B4E582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D56339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54C67FD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1F3E1D12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2CEDEBF2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E81636E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04D03580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</w:tr>
      <w:tr w:rsidR="002618B0" w14:paraId="14504103" w14:textId="77777777" w:rsidTr="006261D1">
        <w:tc>
          <w:tcPr>
            <w:tcW w:w="4503" w:type="dxa"/>
          </w:tcPr>
          <w:p w14:paraId="3C7C8ED6" w14:textId="77777777" w:rsidR="002618B0" w:rsidRPr="006261D1" w:rsidRDefault="002618B0" w:rsidP="00E07CB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Ending clericalism</w:t>
            </w:r>
            <w:r w:rsidR="00E07CBB" w:rsidRPr="006261D1">
              <w:rPr>
                <w:rFonts w:cstheme="minorHAnsi"/>
                <w:sz w:val="20"/>
                <w:szCs w:val="20"/>
              </w:rPr>
              <w:t xml:space="preserve"> (B)</w:t>
            </w:r>
          </w:p>
        </w:tc>
        <w:tc>
          <w:tcPr>
            <w:tcW w:w="567" w:type="dxa"/>
          </w:tcPr>
          <w:p w14:paraId="1180748C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803D94F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B452E4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EDCA83B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122EAA24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341DE3A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30F724EC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</w:tr>
      <w:tr w:rsidR="002618B0" w14:paraId="2EB3FB6D" w14:textId="77777777" w:rsidTr="006261D1">
        <w:tc>
          <w:tcPr>
            <w:tcW w:w="4503" w:type="dxa"/>
          </w:tcPr>
          <w:p w14:paraId="65DACA4F" w14:textId="77777777" w:rsidR="002618B0" w:rsidRPr="006261D1" w:rsidRDefault="002618B0" w:rsidP="005E501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Greater leadership from priests</w:t>
            </w:r>
            <w:r w:rsidR="00E07CBB" w:rsidRPr="006261D1">
              <w:rPr>
                <w:rFonts w:cstheme="minorHAnsi"/>
                <w:sz w:val="20"/>
                <w:szCs w:val="20"/>
              </w:rPr>
              <w:t xml:space="preserve"> (B)</w:t>
            </w:r>
          </w:p>
        </w:tc>
        <w:tc>
          <w:tcPr>
            <w:tcW w:w="567" w:type="dxa"/>
          </w:tcPr>
          <w:p w14:paraId="159017B6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EA60E1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387AE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3C90649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20303D4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8B67F4F" w14:textId="77777777" w:rsidR="002618B0" w:rsidRPr="006261D1" w:rsidRDefault="002618B0" w:rsidP="005E5016">
            <w:pPr>
              <w:rPr>
                <w:rFonts w:cstheme="minorHAnsi"/>
                <w:sz w:val="20"/>
                <w:szCs w:val="20"/>
              </w:rPr>
            </w:pPr>
            <w:r w:rsidRPr="006261D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1C3EC262" w14:textId="77777777" w:rsidR="002618B0" w:rsidRPr="006261D1" w:rsidRDefault="002618B0" w:rsidP="005E5016">
            <w:pPr>
              <w:rPr>
                <w:rFonts w:cstheme="minorHAnsi"/>
                <w:b/>
                <w:sz w:val="20"/>
                <w:szCs w:val="20"/>
              </w:rPr>
            </w:pPr>
            <w:r w:rsidRPr="006261D1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</w:tr>
    </w:tbl>
    <w:p w14:paraId="49C1458F" w14:textId="77777777" w:rsidR="002618B0" w:rsidRPr="00355FA1" w:rsidRDefault="002618B0" w:rsidP="002618B0">
      <w:pPr>
        <w:rPr>
          <w:sz w:val="20"/>
          <w:szCs w:val="20"/>
        </w:rPr>
      </w:pPr>
      <w:r w:rsidRPr="00355FA1">
        <w:rPr>
          <w:sz w:val="20"/>
          <w:szCs w:val="20"/>
        </w:rPr>
        <w:t xml:space="preserve">Source: NCPR, </w:t>
      </w:r>
      <w:r w:rsidRPr="00355FA1">
        <w:rPr>
          <w:i/>
          <w:sz w:val="20"/>
          <w:szCs w:val="20"/>
        </w:rPr>
        <w:t>Diocesan Reports</w:t>
      </w:r>
      <w:r w:rsidRPr="00355FA1">
        <w:rPr>
          <w:sz w:val="20"/>
          <w:szCs w:val="20"/>
        </w:rPr>
        <w:t>, March-April 2020</w:t>
      </w:r>
    </w:p>
    <w:p w14:paraId="16966B4C" w14:textId="77777777" w:rsidR="005E5016" w:rsidRDefault="00C743F9" w:rsidP="002618B0">
      <w:pPr>
        <w:rPr>
          <w:sz w:val="24"/>
          <w:szCs w:val="24"/>
        </w:rPr>
      </w:pPr>
      <w:r>
        <w:rPr>
          <w:sz w:val="24"/>
          <w:szCs w:val="24"/>
        </w:rPr>
        <w:t>Other</w:t>
      </w:r>
      <w:r w:rsidR="000659D6">
        <w:rPr>
          <w:sz w:val="24"/>
          <w:szCs w:val="24"/>
        </w:rPr>
        <w:t xml:space="preserve"> ‘most prominent’ and</w:t>
      </w:r>
      <w:r>
        <w:rPr>
          <w:sz w:val="24"/>
          <w:szCs w:val="24"/>
        </w:rPr>
        <w:t xml:space="preserve"> </w:t>
      </w:r>
      <w:r w:rsidR="005E5016">
        <w:rPr>
          <w:sz w:val="24"/>
          <w:szCs w:val="24"/>
        </w:rPr>
        <w:t>‘most wid</w:t>
      </w:r>
      <w:r>
        <w:rPr>
          <w:sz w:val="24"/>
          <w:szCs w:val="24"/>
        </w:rPr>
        <w:t xml:space="preserve">ely discussed’ issues across </w:t>
      </w:r>
      <w:r w:rsidR="005E5016">
        <w:rPr>
          <w:sz w:val="24"/>
          <w:szCs w:val="24"/>
        </w:rPr>
        <w:t xml:space="preserve">dioceses </w:t>
      </w:r>
      <w:r w:rsidR="000659D6">
        <w:rPr>
          <w:sz w:val="24"/>
          <w:szCs w:val="24"/>
        </w:rPr>
        <w:t xml:space="preserve">(in order) </w:t>
      </w:r>
      <w:r w:rsidR="005E5016">
        <w:rPr>
          <w:sz w:val="24"/>
          <w:szCs w:val="24"/>
        </w:rPr>
        <w:t>were:</w:t>
      </w:r>
    </w:p>
    <w:p w14:paraId="239F0F1D" w14:textId="77777777" w:rsidR="005E5016" w:rsidRDefault="005E5016" w:rsidP="005E501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E5016">
        <w:rPr>
          <w:sz w:val="24"/>
          <w:szCs w:val="24"/>
        </w:rPr>
        <w:t>Need to modernize church teachings</w:t>
      </w:r>
      <w:r>
        <w:rPr>
          <w:sz w:val="24"/>
          <w:szCs w:val="24"/>
        </w:rPr>
        <w:t xml:space="preserve"> (</w:t>
      </w:r>
      <w:r w:rsidR="00C743F9">
        <w:rPr>
          <w:sz w:val="24"/>
          <w:szCs w:val="24"/>
        </w:rPr>
        <w:t xml:space="preserve">in </w:t>
      </w:r>
      <w:r>
        <w:rPr>
          <w:sz w:val="24"/>
          <w:szCs w:val="24"/>
        </w:rPr>
        <w:t>18 dioceses)</w:t>
      </w:r>
    </w:p>
    <w:p w14:paraId="28139079" w14:textId="77777777" w:rsidR="005E5016" w:rsidRDefault="005E5016" w:rsidP="005E501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Teaching authentic Catholic faith (17 dioceses)</w:t>
      </w:r>
    </w:p>
    <w:p w14:paraId="119A29A2" w14:textId="77777777" w:rsidR="005E5016" w:rsidRDefault="005E5016" w:rsidP="005E501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Being a witness in society (15 dioceses)</w:t>
      </w:r>
    </w:p>
    <w:p w14:paraId="623BDDC1" w14:textId="77777777" w:rsidR="005E5016" w:rsidRDefault="005E5016" w:rsidP="005E501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New model of church, diocese and parish (15 dioceses)</w:t>
      </w:r>
    </w:p>
    <w:p w14:paraId="2DB70DE8" w14:textId="77777777" w:rsidR="005E5016" w:rsidRDefault="005E5016" w:rsidP="005E501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Ending LGBTIQ discrimination (15 dioceses)</w:t>
      </w:r>
    </w:p>
    <w:p w14:paraId="629D3A1F" w14:textId="77777777" w:rsidR="005E5016" w:rsidRDefault="005E5016" w:rsidP="005E501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More transparency and accountability around child sexual abuse (15 dioceses)</w:t>
      </w:r>
    </w:p>
    <w:p w14:paraId="44CBA3FC" w14:textId="77777777" w:rsidR="005E5016" w:rsidRDefault="005E5016" w:rsidP="005E501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Renew</w:t>
      </w:r>
      <w:r w:rsidR="000659D6">
        <w:rPr>
          <w:sz w:val="24"/>
          <w:szCs w:val="24"/>
        </w:rPr>
        <w:t>ed</w:t>
      </w:r>
      <w:r>
        <w:rPr>
          <w:sz w:val="24"/>
          <w:szCs w:val="24"/>
        </w:rPr>
        <w:t xml:space="preserve"> call to holiness (13 dioceses)</w:t>
      </w:r>
    </w:p>
    <w:p w14:paraId="535EC387" w14:textId="77777777" w:rsidR="005E5016" w:rsidRDefault="005E5016" w:rsidP="005E501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Inclusion of divorced and remarried (13 dioceses)</w:t>
      </w:r>
    </w:p>
    <w:p w14:paraId="757FE8BB" w14:textId="77777777" w:rsidR="005E5016" w:rsidRDefault="005E5016" w:rsidP="005E501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Listening to each other more (12 dioceses)</w:t>
      </w:r>
    </w:p>
    <w:p w14:paraId="47105434" w14:textId="77777777" w:rsidR="005E5016" w:rsidRDefault="005F3BEE" w:rsidP="005E501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Stronger parish communities (12 dioceses)</w:t>
      </w:r>
    </w:p>
    <w:p w14:paraId="587B3BE9" w14:textId="77777777" w:rsidR="005F3BEE" w:rsidRDefault="005F3BEE" w:rsidP="005E501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Better selection and formation for candidates for priesthood (10 dioceses)</w:t>
      </w:r>
    </w:p>
    <w:p w14:paraId="0AB63E80" w14:textId="77777777" w:rsidR="002C7959" w:rsidRPr="002C7959" w:rsidRDefault="002C7959" w:rsidP="002C7959">
      <w:pPr>
        <w:rPr>
          <w:sz w:val="24"/>
          <w:szCs w:val="24"/>
        </w:rPr>
      </w:pPr>
      <w:r w:rsidRPr="002C7959">
        <w:rPr>
          <w:sz w:val="24"/>
          <w:szCs w:val="24"/>
        </w:rPr>
        <w:lastRenderedPageBreak/>
        <w:t>The ‘most prominent’ and ‘most widely discussed’ issue within and across dioceses was ‘Greater inclusion for all’</w:t>
      </w:r>
      <w:r w:rsidR="00E23751">
        <w:rPr>
          <w:sz w:val="24"/>
          <w:szCs w:val="24"/>
        </w:rPr>
        <w:t xml:space="preserve">. Significantly, </w:t>
      </w:r>
      <w:r w:rsidRPr="002C7959">
        <w:rPr>
          <w:sz w:val="24"/>
          <w:szCs w:val="24"/>
        </w:rPr>
        <w:t xml:space="preserve">5 of the top 6 most prominent issues relate directly or indirectly to the role of women in church ministry and governance. </w:t>
      </w:r>
    </w:p>
    <w:p w14:paraId="0C887AB6" w14:textId="77777777" w:rsidR="002C7959" w:rsidRPr="002C7959" w:rsidRDefault="004811FA" w:rsidP="002C7959">
      <w:pPr>
        <w:rPr>
          <w:sz w:val="24"/>
          <w:szCs w:val="24"/>
        </w:rPr>
      </w:pPr>
      <w:r>
        <w:rPr>
          <w:sz w:val="24"/>
          <w:szCs w:val="24"/>
        </w:rPr>
        <w:t>While m</w:t>
      </w:r>
      <w:r w:rsidR="002C7959" w:rsidRPr="002C7959">
        <w:rPr>
          <w:sz w:val="24"/>
          <w:szCs w:val="24"/>
        </w:rPr>
        <w:t xml:space="preserve">ost of the </w:t>
      </w:r>
      <w:r w:rsidR="00E23751">
        <w:rPr>
          <w:sz w:val="24"/>
          <w:szCs w:val="24"/>
        </w:rPr>
        <w:t xml:space="preserve">issues </w:t>
      </w:r>
      <w:r w:rsidR="002C7959" w:rsidRPr="002C7959">
        <w:rPr>
          <w:sz w:val="24"/>
          <w:szCs w:val="24"/>
        </w:rPr>
        <w:t xml:space="preserve">are self-explanatory, ‘Greater inclusion for all’ </w:t>
      </w:r>
      <w:r w:rsidR="00E23751">
        <w:rPr>
          <w:sz w:val="24"/>
          <w:szCs w:val="24"/>
        </w:rPr>
        <w:t>has a particular meaning for those responding to t</w:t>
      </w:r>
      <w:r w:rsidR="002C7959" w:rsidRPr="002C7959">
        <w:rPr>
          <w:sz w:val="24"/>
          <w:szCs w:val="24"/>
        </w:rPr>
        <w:t xml:space="preserve">he Question </w:t>
      </w:r>
      <w:r w:rsidR="00E23751">
        <w:rPr>
          <w:sz w:val="24"/>
          <w:szCs w:val="24"/>
        </w:rPr>
        <w:t>“W</w:t>
      </w:r>
      <w:r w:rsidR="002C7959" w:rsidRPr="002C7959">
        <w:rPr>
          <w:sz w:val="24"/>
          <w:szCs w:val="24"/>
        </w:rPr>
        <w:t xml:space="preserve">hat God was asking of </w:t>
      </w:r>
      <w:r w:rsidR="00E23751">
        <w:rPr>
          <w:sz w:val="24"/>
          <w:szCs w:val="24"/>
        </w:rPr>
        <w:t xml:space="preserve">us [i.e. </w:t>
      </w:r>
      <w:r w:rsidR="002C7959" w:rsidRPr="002C7959">
        <w:rPr>
          <w:sz w:val="24"/>
          <w:szCs w:val="24"/>
        </w:rPr>
        <w:t>the Church</w:t>
      </w:r>
      <w:r w:rsidR="00E23751">
        <w:rPr>
          <w:sz w:val="24"/>
          <w:szCs w:val="24"/>
        </w:rPr>
        <w:t>]</w:t>
      </w:r>
      <w:r w:rsidR="002C7959" w:rsidRPr="002C7959">
        <w:rPr>
          <w:sz w:val="24"/>
          <w:szCs w:val="24"/>
        </w:rPr>
        <w:t xml:space="preserve"> in Australia as this time</w:t>
      </w:r>
      <w:r w:rsidR="00E23751">
        <w:rPr>
          <w:sz w:val="24"/>
          <w:szCs w:val="24"/>
        </w:rPr>
        <w:t>?</w:t>
      </w:r>
      <w:r w:rsidR="002C7959" w:rsidRPr="002C7959">
        <w:rPr>
          <w:sz w:val="24"/>
          <w:szCs w:val="24"/>
        </w:rPr>
        <w:t xml:space="preserve">” They want their Church: to be more inclusive of persons of all sexual preferences and genders, marginalised persons, refugees and poor persons; to make these persons feel included, welcomed, and valued equally, regardless of their sexuality or marital status; to reach out to people and be ‘Christ’ to them; to welcome </w:t>
      </w:r>
      <w:r w:rsidR="00E23751">
        <w:rPr>
          <w:sz w:val="24"/>
          <w:szCs w:val="24"/>
        </w:rPr>
        <w:t xml:space="preserve">and embrace </w:t>
      </w:r>
      <w:r w:rsidR="002C7959" w:rsidRPr="002C7959">
        <w:rPr>
          <w:sz w:val="24"/>
          <w:szCs w:val="24"/>
        </w:rPr>
        <w:t xml:space="preserve">persons of different ethnicities, cultures, faiths and sexual orientations and promote unity among them; to </w:t>
      </w:r>
      <w:r w:rsidR="00E23751">
        <w:rPr>
          <w:sz w:val="24"/>
          <w:szCs w:val="24"/>
        </w:rPr>
        <w:t xml:space="preserve">be more </w:t>
      </w:r>
      <w:r w:rsidR="002C7959" w:rsidRPr="002C7959">
        <w:rPr>
          <w:sz w:val="24"/>
          <w:szCs w:val="24"/>
        </w:rPr>
        <w:t>car</w:t>
      </w:r>
      <w:r w:rsidR="00E23751">
        <w:rPr>
          <w:sz w:val="24"/>
          <w:szCs w:val="24"/>
        </w:rPr>
        <w:t xml:space="preserve">ing </w:t>
      </w:r>
      <w:r w:rsidR="002C7959" w:rsidRPr="002C7959">
        <w:rPr>
          <w:sz w:val="24"/>
          <w:szCs w:val="24"/>
        </w:rPr>
        <w:t>and respect</w:t>
      </w:r>
      <w:r w:rsidR="00E23751">
        <w:rPr>
          <w:sz w:val="24"/>
          <w:szCs w:val="24"/>
        </w:rPr>
        <w:t xml:space="preserve">ful to </w:t>
      </w:r>
      <w:r w:rsidR="002C7959" w:rsidRPr="002C7959">
        <w:rPr>
          <w:sz w:val="24"/>
          <w:szCs w:val="24"/>
        </w:rPr>
        <w:t xml:space="preserve">persons with disabilities, </w:t>
      </w:r>
      <w:r w:rsidR="00E23751">
        <w:rPr>
          <w:sz w:val="24"/>
          <w:szCs w:val="24"/>
        </w:rPr>
        <w:t>r</w:t>
      </w:r>
      <w:r w:rsidR="002C7959" w:rsidRPr="002C7959">
        <w:rPr>
          <w:sz w:val="24"/>
          <w:szCs w:val="24"/>
        </w:rPr>
        <w:t>ecognis</w:t>
      </w:r>
      <w:r w:rsidR="00E23751">
        <w:rPr>
          <w:sz w:val="24"/>
          <w:szCs w:val="24"/>
        </w:rPr>
        <w:t>ing</w:t>
      </w:r>
      <w:r w:rsidR="002C7959" w:rsidRPr="002C7959">
        <w:rPr>
          <w:sz w:val="24"/>
          <w:szCs w:val="24"/>
        </w:rPr>
        <w:t xml:space="preserve"> their equality and gifts, and facilitat</w:t>
      </w:r>
      <w:r w:rsidR="00E23751">
        <w:rPr>
          <w:sz w:val="24"/>
          <w:szCs w:val="24"/>
        </w:rPr>
        <w:t>ing</w:t>
      </w:r>
      <w:r w:rsidR="002C7959" w:rsidRPr="002C7959">
        <w:rPr>
          <w:sz w:val="24"/>
          <w:szCs w:val="24"/>
        </w:rPr>
        <w:t xml:space="preserve"> their access to the sacraments; and to be non-judgemental on relationships (e.g. same-sex) and moral issues (e.g. premarital sex, divorce, and contraception).</w:t>
      </w:r>
    </w:p>
    <w:p w14:paraId="6AD85329" w14:textId="77777777" w:rsidR="00C66BA3" w:rsidRPr="00C66BA3" w:rsidRDefault="004811FA" w:rsidP="00C66BA3">
      <w:pPr>
        <w:rPr>
          <w:sz w:val="24"/>
          <w:szCs w:val="24"/>
        </w:rPr>
      </w:pPr>
      <w:r>
        <w:rPr>
          <w:sz w:val="24"/>
          <w:szCs w:val="24"/>
        </w:rPr>
        <w:t xml:space="preserve">As the </w:t>
      </w:r>
      <w:r w:rsidR="00C66BA3">
        <w:rPr>
          <w:sz w:val="24"/>
          <w:szCs w:val="24"/>
        </w:rPr>
        <w:t xml:space="preserve">bishops move </w:t>
      </w:r>
      <w:r>
        <w:rPr>
          <w:sz w:val="24"/>
          <w:szCs w:val="24"/>
        </w:rPr>
        <w:t xml:space="preserve">closer </w:t>
      </w:r>
      <w:r w:rsidR="00C66BA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C66BA3">
        <w:rPr>
          <w:sz w:val="24"/>
          <w:szCs w:val="24"/>
        </w:rPr>
        <w:t>setting the Council</w:t>
      </w:r>
      <w:r w:rsidR="00E23751">
        <w:rPr>
          <w:sz w:val="24"/>
          <w:szCs w:val="24"/>
        </w:rPr>
        <w:t>’s</w:t>
      </w:r>
      <w:r w:rsidR="00C66BA3">
        <w:rPr>
          <w:sz w:val="24"/>
          <w:szCs w:val="24"/>
        </w:rPr>
        <w:t xml:space="preserve"> agenda, </w:t>
      </w:r>
      <w:r w:rsidR="00166CE1">
        <w:rPr>
          <w:sz w:val="24"/>
          <w:szCs w:val="24"/>
        </w:rPr>
        <w:t xml:space="preserve">it is hoped </w:t>
      </w:r>
      <w:r w:rsidR="00C66BA3">
        <w:rPr>
          <w:sz w:val="24"/>
          <w:szCs w:val="24"/>
        </w:rPr>
        <w:t xml:space="preserve">they </w:t>
      </w:r>
      <w:r w:rsidR="00166CE1">
        <w:rPr>
          <w:sz w:val="24"/>
          <w:szCs w:val="24"/>
        </w:rPr>
        <w:t xml:space="preserve">will </w:t>
      </w:r>
      <w:r w:rsidR="00C66BA3">
        <w:rPr>
          <w:sz w:val="24"/>
          <w:szCs w:val="24"/>
        </w:rPr>
        <w:t>give careful consideration to those issues which Christ’s faithful have prioritised.</w:t>
      </w:r>
    </w:p>
    <w:p w14:paraId="07FB2AD5" w14:textId="77777777" w:rsidR="00A55D76" w:rsidRDefault="00A55D76" w:rsidP="002618B0">
      <w:pPr>
        <w:rPr>
          <w:sz w:val="24"/>
          <w:szCs w:val="24"/>
        </w:rPr>
      </w:pPr>
      <w:r>
        <w:rPr>
          <w:sz w:val="24"/>
          <w:szCs w:val="24"/>
        </w:rPr>
        <w:t xml:space="preserve">Note: All reports cited can be accessed at </w:t>
      </w:r>
      <w:hyperlink r:id="rId8" w:history="1">
        <w:r w:rsidRPr="002509A8">
          <w:rPr>
            <w:rStyle w:val="Hyperlink"/>
            <w:sz w:val="24"/>
            <w:szCs w:val="24"/>
          </w:rPr>
          <w:t>www.plenarycouncil.catholic.org.au</w:t>
        </w:r>
      </w:hyperlink>
      <w:r>
        <w:rPr>
          <w:sz w:val="24"/>
          <w:szCs w:val="24"/>
        </w:rPr>
        <w:t xml:space="preserve">  </w:t>
      </w:r>
    </w:p>
    <w:p w14:paraId="49A6E640" w14:textId="77777777" w:rsidR="006C065B" w:rsidRPr="00BB10E1" w:rsidRDefault="006C065B" w:rsidP="002618B0">
      <w:pPr>
        <w:rPr>
          <w:sz w:val="24"/>
          <w:szCs w:val="24"/>
        </w:rPr>
      </w:pPr>
    </w:p>
    <w:sectPr w:rsidR="006C065B" w:rsidRPr="00BB10E1" w:rsidSect="00722C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928ED" w14:textId="77777777" w:rsidR="00145861" w:rsidRDefault="00145861" w:rsidP="006E72E8">
      <w:pPr>
        <w:spacing w:after="0" w:line="240" w:lineRule="auto"/>
      </w:pPr>
      <w:r>
        <w:separator/>
      </w:r>
    </w:p>
  </w:endnote>
  <w:endnote w:type="continuationSeparator" w:id="0">
    <w:p w14:paraId="2E630435" w14:textId="77777777" w:rsidR="00145861" w:rsidRDefault="00145861" w:rsidP="006E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D4D40" w14:textId="77777777" w:rsidR="00145861" w:rsidRDefault="00145861" w:rsidP="006E72E8">
      <w:pPr>
        <w:spacing w:after="0" w:line="240" w:lineRule="auto"/>
      </w:pPr>
      <w:r>
        <w:separator/>
      </w:r>
    </w:p>
  </w:footnote>
  <w:footnote w:type="continuationSeparator" w:id="0">
    <w:p w14:paraId="30362FC9" w14:textId="77777777" w:rsidR="00145861" w:rsidRDefault="00145861" w:rsidP="006E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FEA"/>
    <w:multiLevelType w:val="hybridMultilevel"/>
    <w:tmpl w:val="CD0CEAE6"/>
    <w:lvl w:ilvl="0" w:tplc="071C3BC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83AFA"/>
    <w:multiLevelType w:val="hybridMultilevel"/>
    <w:tmpl w:val="AB2C4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62823"/>
    <w:multiLevelType w:val="hybridMultilevel"/>
    <w:tmpl w:val="20606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2C3D"/>
    <w:multiLevelType w:val="hybridMultilevel"/>
    <w:tmpl w:val="104A4C3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7B50B3"/>
    <w:multiLevelType w:val="hybridMultilevel"/>
    <w:tmpl w:val="DEB6800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52B43"/>
    <w:multiLevelType w:val="hybridMultilevel"/>
    <w:tmpl w:val="90B859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3359C"/>
    <w:multiLevelType w:val="hybridMultilevel"/>
    <w:tmpl w:val="A9A84132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A2FC0"/>
    <w:multiLevelType w:val="hybridMultilevel"/>
    <w:tmpl w:val="72FE0C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07785"/>
    <w:multiLevelType w:val="hybridMultilevel"/>
    <w:tmpl w:val="5C2434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81404A"/>
    <w:multiLevelType w:val="hybridMultilevel"/>
    <w:tmpl w:val="20BC1C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67FB6"/>
    <w:multiLevelType w:val="hybridMultilevel"/>
    <w:tmpl w:val="B15475A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1644A"/>
    <w:multiLevelType w:val="hybridMultilevel"/>
    <w:tmpl w:val="72FE0C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42FD1"/>
    <w:multiLevelType w:val="hybridMultilevel"/>
    <w:tmpl w:val="648A759A"/>
    <w:lvl w:ilvl="0" w:tplc="221019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0736FBD"/>
    <w:multiLevelType w:val="hybridMultilevel"/>
    <w:tmpl w:val="0FC0BA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71093"/>
    <w:multiLevelType w:val="multilevel"/>
    <w:tmpl w:val="ABBCC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340171"/>
    <w:multiLevelType w:val="hybridMultilevel"/>
    <w:tmpl w:val="713A3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012E"/>
    <w:multiLevelType w:val="hybridMultilevel"/>
    <w:tmpl w:val="2662C612"/>
    <w:lvl w:ilvl="0" w:tplc="DB18AF7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5136ED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30CA6"/>
    <w:multiLevelType w:val="hybridMultilevel"/>
    <w:tmpl w:val="67EC3312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"/>
  </w:num>
  <w:num w:numId="5">
    <w:abstractNumId w:val="10"/>
  </w:num>
  <w:num w:numId="6">
    <w:abstractNumId w:val="0"/>
  </w:num>
  <w:num w:numId="7">
    <w:abstractNumId w:val="15"/>
  </w:num>
  <w:num w:numId="8">
    <w:abstractNumId w:val="8"/>
  </w:num>
  <w:num w:numId="9">
    <w:abstractNumId w:val="5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6"/>
  </w:num>
  <w:num w:numId="15">
    <w:abstractNumId w:val="3"/>
  </w:num>
  <w:num w:numId="16">
    <w:abstractNumId w:val="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95"/>
    <w:rsid w:val="00005AB3"/>
    <w:rsid w:val="00011E50"/>
    <w:rsid w:val="0002569A"/>
    <w:rsid w:val="0005444C"/>
    <w:rsid w:val="00061DDB"/>
    <w:rsid w:val="000659D6"/>
    <w:rsid w:val="00082E16"/>
    <w:rsid w:val="00086B93"/>
    <w:rsid w:val="000901C4"/>
    <w:rsid w:val="000C158E"/>
    <w:rsid w:val="000C782D"/>
    <w:rsid w:val="000D1B26"/>
    <w:rsid w:val="000F18C9"/>
    <w:rsid w:val="000F2E21"/>
    <w:rsid w:val="000F5CB5"/>
    <w:rsid w:val="000F75FD"/>
    <w:rsid w:val="00103B46"/>
    <w:rsid w:val="00112CF1"/>
    <w:rsid w:val="001369F7"/>
    <w:rsid w:val="00145861"/>
    <w:rsid w:val="00150557"/>
    <w:rsid w:val="001535BB"/>
    <w:rsid w:val="00166CE1"/>
    <w:rsid w:val="00173739"/>
    <w:rsid w:val="001817CC"/>
    <w:rsid w:val="00185E90"/>
    <w:rsid w:val="00191862"/>
    <w:rsid w:val="00195501"/>
    <w:rsid w:val="001B27AE"/>
    <w:rsid w:val="001C45FB"/>
    <w:rsid w:val="001D29E9"/>
    <w:rsid w:val="001E44AB"/>
    <w:rsid w:val="00213A6C"/>
    <w:rsid w:val="00215A19"/>
    <w:rsid w:val="00230089"/>
    <w:rsid w:val="002338B7"/>
    <w:rsid w:val="0023738B"/>
    <w:rsid w:val="0024185B"/>
    <w:rsid w:val="00243379"/>
    <w:rsid w:val="00250939"/>
    <w:rsid w:val="00253EA5"/>
    <w:rsid w:val="00255CA1"/>
    <w:rsid w:val="002618B0"/>
    <w:rsid w:val="002629FF"/>
    <w:rsid w:val="00277F68"/>
    <w:rsid w:val="00295F68"/>
    <w:rsid w:val="002C63CD"/>
    <w:rsid w:val="002C73E1"/>
    <w:rsid w:val="002C7959"/>
    <w:rsid w:val="002C7B82"/>
    <w:rsid w:val="002F4391"/>
    <w:rsid w:val="002F4A63"/>
    <w:rsid w:val="003236EA"/>
    <w:rsid w:val="00324C81"/>
    <w:rsid w:val="00337565"/>
    <w:rsid w:val="00344816"/>
    <w:rsid w:val="00355FA1"/>
    <w:rsid w:val="00356AEA"/>
    <w:rsid w:val="00371FFC"/>
    <w:rsid w:val="003851B1"/>
    <w:rsid w:val="003915B3"/>
    <w:rsid w:val="00393E9E"/>
    <w:rsid w:val="003A26CD"/>
    <w:rsid w:val="003B2EE2"/>
    <w:rsid w:val="003C6BF0"/>
    <w:rsid w:val="003E5131"/>
    <w:rsid w:val="003F5446"/>
    <w:rsid w:val="0040015E"/>
    <w:rsid w:val="00402F98"/>
    <w:rsid w:val="00402FDE"/>
    <w:rsid w:val="0040370D"/>
    <w:rsid w:val="00405765"/>
    <w:rsid w:val="004225AD"/>
    <w:rsid w:val="00444B4B"/>
    <w:rsid w:val="00462793"/>
    <w:rsid w:val="00466678"/>
    <w:rsid w:val="004666E1"/>
    <w:rsid w:val="004679C3"/>
    <w:rsid w:val="00474F99"/>
    <w:rsid w:val="004811FA"/>
    <w:rsid w:val="00484465"/>
    <w:rsid w:val="004A0DF9"/>
    <w:rsid w:val="004D0EB4"/>
    <w:rsid w:val="004D63C1"/>
    <w:rsid w:val="004E7835"/>
    <w:rsid w:val="004F6F81"/>
    <w:rsid w:val="005002CB"/>
    <w:rsid w:val="0050112D"/>
    <w:rsid w:val="00511534"/>
    <w:rsid w:val="0052355C"/>
    <w:rsid w:val="00527DB7"/>
    <w:rsid w:val="005320A7"/>
    <w:rsid w:val="00534E73"/>
    <w:rsid w:val="00540B09"/>
    <w:rsid w:val="005414A3"/>
    <w:rsid w:val="00551A21"/>
    <w:rsid w:val="00561D1E"/>
    <w:rsid w:val="005635DC"/>
    <w:rsid w:val="00570942"/>
    <w:rsid w:val="005857B9"/>
    <w:rsid w:val="00586E12"/>
    <w:rsid w:val="005A1A64"/>
    <w:rsid w:val="005C0EB8"/>
    <w:rsid w:val="005C1F5D"/>
    <w:rsid w:val="005D4A6C"/>
    <w:rsid w:val="005E3EE7"/>
    <w:rsid w:val="005E5016"/>
    <w:rsid w:val="005F3BEE"/>
    <w:rsid w:val="005F63FA"/>
    <w:rsid w:val="005F7D9F"/>
    <w:rsid w:val="0061727B"/>
    <w:rsid w:val="00617C5A"/>
    <w:rsid w:val="006261D1"/>
    <w:rsid w:val="0063193D"/>
    <w:rsid w:val="006404AB"/>
    <w:rsid w:val="006460CF"/>
    <w:rsid w:val="00651D39"/>
    <w:rsid w:val="00657380"/>
    <w:rsid w:val="006614C5"/>
    <w:rsid w:val="00685EED"/>
    <w:rsid w:val="00691BF7"/>
    <w:rsid w:val="006C065B"/>
    <w:rsid w:val="006C169E"/>
    <w:rsid w:val="006C7AAA"/>
    <w:rsid w:val="006E2C59"/>
    <w:rsid w:val="006E72E8"/>
    <w:rsid w:val="006F151E"/>
    <w:rsid w:val="0070116B"/>
    <w:rsid w:val="00706EA6"/>
    <w:rsid w:val="00721CCB"/>
    <w:rsid w:val="00722CD1"/>
    <w:rsid w:val="00726C19"/>
    <w:rsid w:val="00731F61"/>
    <w:rsid w:val="007353ED"/>
    <w:rsid w:val="00735894"/>
    <w:rsid w:val="007416F3"/>
    <w:rsid w:val="00752E1B"/>
    <w:rsid w:val="00760FCB"/>
    <w:rsid w:val="0077095B"/>
    <w:rsid w:val="00771569"/>
    <w:rsid w:val="0077246E"/>
    <w:rsid w:val="007739DC"/>
    <w:rsid w:val="00774DAD"/>
    <w:rsid w:val="00780B7B"/>
    <w:rsid w:val="0078334E"/>
    <w:rsid w:val="00784776"/>
    <w:rsid w:val="00784DFB"/>
    <w:rsid w:val="007956D8"/>
    <w:rsid w:val="007B4E4C"/>
    <w:rsid w:val="007C358D"/>
    <w:rsid w:val="007F1D9F"/>
    <w:rsid w:val="008058FE"/>
    <w:rsid w:val="00815EF1"/>
    <w:rsid w:val="00820C02"/>
    <w:rsid w:val="00835391"/>
    <w:rsid w:val="00842B04"/>
    <w:rsid w:val="008525DA"/>
    <w:rsid w:val="0087560C"/>
    <w:rsid w:val="0087665F"/>
    <w:rsid w:val="00881113"/>
    <w:rsid w:val="008A4037"/>
    <w:rsid w:val="008A5846"/>
    <w:rsid w:val="008B2BF4"/>
    <w:rsid w:val="008B533D"/>
    <w:rsid w:val="008D672E"/>
    <w:rsid w:val="008E0C2C"/>
    <w:rsid w:val="008E6B61"/>
    <w:rsid w:val="008F15E0"/>
    <w:rsid w:val="008F7F3C"/>
    <w:rsid w:val="0091786E"/>
    <w:rsid w:val="00940003"/>
    <w:rsid w:val="0094440A"/>
    <w:rsid w:val="00960A54"/>
    <w:rsid w:val="009617FD"/>
    <w:rsid w:val="0096200F"/>
    <w:rsid w:val="00963491"/>
    <w:rsid w:val="00966A1A"/>
    <w:rsid w:val="00967F29"/>
    <w:rsid w:val="0097027C"/>
    <w:rsid w:val="00991E77"/>
    <w:rsid w:val="009F6CF4"/>
    <w:rsid w:val="009F76B3"/>
    <w:rsid w:val="00A1075A"/>
    <w:rsid w:val="00A143F9"/>
    <w:rsid w:val="00A2759A"/>
    <w:rsid w:val="00A31A8A"/>
    <w:rsid w:val="00A508B7"/>
    <w:rsid w:val="00A53BA8"/>
    <w:rsid w:val="00A55D76"/>
    <w:rsid w:val="00A56819"/>
    <w:rsid w:val="00A85F50"/>
    <w:rsid w:val="00AA7B2E"/>
    <w:rsid w:val="00AB4E6E"/>
    <w:rsid w:val="00AC0021"/>
    <w:rsid w:val="00AC6844"/>
    <w:rsid w:val="00AE18FC"/>
    <w:rsid w:val="00AE3078"/>
    <w:rsid w:val="00AE73D3"/>
    <w:rsid w:val="00AF0E32"/>
    <w:rsid w:val="00AF4B2D"/>
    <w:rsid w:val="00B00776"/>
    <w:rsid w:val="00B166E1"/>
    <w:rsid w:val="00B256E2"/>
    <w:rsid w:val="00B25B6F"/>
    <w:rsid w:val="00B31CA0"/>
    <w:rsid w:val="00B53A46"/>
    <w:rsid w:val="00B70723"/>
    <w:rsid w:val="00B71B91"/>
    <w:rsid w:val="00B75111"/>
    <w:rsid w:val="00B75956"/>
    <w:rsid w:val="00B76A64"/>
    <w:rsid w:val="00B92395"/>
    <w:rsid w:val="00BA2558"/>
    <w:rsid w:val="00BA2C8C"/>
    <w:rsid w:val="00BA52AC"/>
    <w:rsid w:val="00BB10E1"/>
    <w:rsid w:val="00BC69C7"/>
    <w:rsid w:val="00BD37C2"/>
    <w:rsid w:val="00BD3A06"/>
    <w:rsid w:val="00BE103E"/>
    <w:rsid w:val="00BE59DE"/>
    <w:rsid w:val="00BE6357"/>
    <w:rsid w:val="00BE7F5A"/>
    <w:rsid w:val="00BF13EC"/>
    <w:rsid w:val="00C0427B"/>
    <w:rsid w:val="00C067F7"/>
    <w:rsid w:val="00C32E6E"/>
    <w:rsid w:val="00C3687D"/>
    <w:rsid w:val="00C5236E"/>
    <w:rsid w:val="00C531B6"/>
    <w:rsid w:val="00C6059C"/>
    <w:rsid w:val="00C64151"/>
    <w:rsid w:val="00C642B2"/>
    <w:rsid w:val="00C66BA3"/>
    <w:rsid w:val="00C743F9"/>
    <w:rsid w:val="00CA2788"/>
    <w:rsid w:val="00CA3F6F"/>
    <w:rsid w:val="00CC61B1"/>
    <w:rsid w:val="00CE06FD"/>
    <w:rsid w:val="00CE42BE"/>
    <w:rsid w:val="00CF30DA"/>
    <w:rsid w:val="00CF6C16"/>
    <w:rsid w:val="00D112B2"/>
    <w:rsid w:val="00D163BB"/>
    <w:rsid w:val="00D22F13"/>
    <w:rsid w:val="00D36BD9"/>
    <w:rsid w:val="00D40F39"/>
    <w:rsid w:val="00D87A41"/>
    <w:rsid w:val="00D90B94"/>
    <w:rsid w:val="00D96AB2"/>
    <w:rsid w:val="00DA2A3B"/>
    <w:rsid w:val="00DA2F0D"/>
    <w:rsid w:val="00DA49F5"/>
    <w:rsid w:val="00DC180D"/>
    <w:rsid w:val="00DC1AD8"/>
    <w:rsid w:val="00DC2E18"/>
    <w:rsid w:val="00DD1AE8"/>
    <w:rsid w:val="00DD4E45"/>
    <w:rsid w:val="00DE7717"/>
    <w:rsid w:val="00DF06D6"/>
    <w:rsid w:val="00DF229D"/>
    <w:rsid w:val="00DF7BA1"/>
    <w:rsid w:val="00E07CBB"/>
    <w:rsid w:val="00E10D51"/>
    <w:rsid w:val="00E23751"/>
    <w:rsid w:val="00E27D47"/>
    <w:rsid w:val="00E40ABF"/>
    <w:rsid w:val="00E57651"/>
    <w:rsid w:val="00E63159"/>
    <w:rsid w:val="00E67CFF"/>
    <w:rsid w:val="00E85EBC"/>
    <w:rsid w:val="00EA428B"/>
    <w:rsid w:val="00EA62B4"/>
    <w:rsid w:val="00EA70A9"/>
    <w:rsid w:val="00EB28DD"/>
    <w:rsid w:val="00EB2CAE"/>
    <w:rsid w:val="00EB55ED"/>
    <w:rsid w:val="00EC078C"/>
    <w:rsid w:val="00EC65E9"/>
    <w:rsid w:val="00EE60B5"/>
    <w:rsid w:val="00F31817"/>
    <w:rsid w:val="00F37AD8"/>
    <w:rsid w:val="00F47978"/>
    <w:rsid w:val="00F51F00"/>
    <w:rsid w:val="00F60E7A"/>
    <w:rsid w:val="00F6161A"/>
    <w:rsid w:val="00F645FF"/>
    <w:rsid w:val="00F72EAC"/>
    <w:rsid w:val="00F73481"/>
    <w:rsid w:val="00F77D9E"/>
    <w:rsid w:val="00F84396"/>
    <w:rsid w:val="00FA76F8"/>
    <w:rsid w:val="00FB4C2D"/>
    <w:rsid w:val="00FC51BE"/>
    <w:rsid w:val="00FE2FCF"/>
    <w:rsid w:val="00FF300F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FF08"/>
  <w15:docId w15:val="{A405C7FD-EE8D-44BC-BEEB-AC165BD0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396"/>
    <w:pPr>
      <w:ind w:left="720"/>
      <w:contextualSpacing/>
    </w:pPr>
  </w:style>
  <w:style w:type="table" w:styleId="TableGrid">
    <w:name w:val="Table Grid"/>
    <w:basedOn w:val="TableNormal"/>
    <w:uiPriority w:val="59"/>
    <w:rsid w:val="0083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7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2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2E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15EF1"/>
    <w:rPr>
      <w:b/>
      <w:bCs/>
    </w:rPr>
  </w:style>
  <w:style w:type="character" w:styleId="Hyperlink">
    <w:name w:val="Hyperlink"/>
    <w:basedOn w:val="DefaultParagraphFont"/>
    <w:uiPriority w:val="99"/>
    <w:unhideWhenUsed/>
    <w:rsid w:val="00A55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narycouncil.catholic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09E27-6517-4643-B7B9-186FEACC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Judith Tokley</cp:lastModifiedBy>
  <cp:revision>2</cp:revision>
  <dcterms:created xsi:type="dcterms:W3CDTF">2020-05-28T07:56:00Z</dcterms:created>
  <dcterms:modified xsi:type="dcterms:W3CDTF">2020-05-28T07:56:00Z</dcterms:modified>
</cp:coreProperties>
</file>